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7B" w:rsidRDefault="00D7737B" w:rsidP="00285333">
      <w:pPr>
        <w:jc w:val="center"/>
      </w:pPr>
      <w:r>
        <w:t>Molecular Biology</w:t>
      </w:r>
    </w:p>
    <w:p w:rsidR="00D7737B" w:rsidRDefault="00D7737B">
      <w:pPr>
        <w:jc w:val="center"/>
      </w:pPr>
      <w:r>
        <w:t xml:space="preserve">Lab </w:t>
      </w:r>
      <w:r w:rsidR="004C3182">
        <w:t>9</w:t>
      </w:r>
    </w:p>
    <w:p w:rsidR="00D7737B" w:rsidRDefault="00D7737B">
      <w:pPr>
        <w:jc w:val="center"/>
      </w:pPr>
    </w:p>
    <w:p w:rsidR="00D7737B" w:rsidRDefault="003F00FA" w:rsidP="003F00FA">
      <w:pPr>
        <w:jc w:val="center"/>
      </w:pPr>
      <w:r>
        <w:t>INTRODUCTION TO REAL-TIME</w:t>
      </w:r>
      <w:r w:rsidR="00AF30F5">
        <w:t xml:space="preserve"> </w:t>
      </w:r>
      <w:r>
        <w:t>PCR</w:t>
      </w:r>
      <w:r w:rsidR="00AF30F5">
        <w:t xml:space="preserve"> or QUANTITATIVE PCR (</w:t>
      </w:r>
      <w:r w:rsidR="00B31EF7">
        <w:t>qPCR</w:t>
      </w:r>
      <w:r w:rsidR="00AF30F5">
        <w:t>)</w:t>
      </w:r>
    </w:p>
    <w:p w:rsidR="003F00FA" w:rsidRDefault="003F00FA" w:rsidP="003F00FA">
      <w:pPr>
        <w:jc w:val="center"/>
      </w:pPr>
    </w:p>
    <w:p w:rsidR="003F00FA" w:rsidRPr="00B31EF7" w:rsidRDefault="003F00FA" w:rsidP="003F00FA">
      <w:pPr>
        <w:jc w:val="center"/>
        <w:rPr>
          <w:b/>
        </w:rPr>
      </w:pPr>
    </w:p>
    <w:p w:rsidR="00D97D74" w:rsidRPr="00D97D74" w:rsidRDefault="00AF30F5" w:rsidP="00AF30F5">
      <w:pPr>
        <w:autoSpaceDE w:val="0"/>
        <w:autoSpaceDN w:val="0"/>
        <w:adjustRightInd w:val="0"/>
        <w:rPr>
          <w:rFonts w:ascii="HelveticaNeue-Heavy" w:hAnsi="HelveticaNeue-Heavy" w:cs="HelveticaNeue-Heavy"/>
          <w:b/>
          <w:color w:val="000000"/>
          <w:u w:val="single"/>
        </w:rPr>
      </w:pPr>
      <w:r w:rsidRPr="00D97D74">
        <w:rPr>
          <w:rFonts w:ascii="HelveticaNeue-Heavy" w:hAnsi="HelveticaNeue-Heavy" w:cs="HelveticaNeue-Heavy"/>
          <w:b/>
          <w:color w:val="000000"/>
          <w:u w:val="single"/>
        </w:rPr>
        <w:t>Theory of Real-Time PCR</w:t>
      </w:r>
    </w:p>
    <w:p w:rsidR="00AF30F5" w:rsidRPr="00B31EF7" w:rsidRDefault="00AF30F5" w:rsidP="00AF30F5">
      <w:pPr>
        <w:autoSpaceDE w:val="0"/>
        <w:autoSpaceDN w:val="0"/>
        <w:adjustRightInd w:val="0"/>
        <w:rPr>
          <w:rFonts w:ascii="HelveticaNeue-Light" w:hAnsi="HelveticaNeue-Light" w:cs="HelveticaNeue-Light"/>
          <w:color w:val="000000"/>
          <w:sz w:val="22"/>
          <w:szCs w:val="22"/>
        </w:rPr>
      </w:pPr>
      <w:r w:rsidRPr="00B31EF7">
        <w:rPr>
          <w:rFonts w:ascii="HelveticaNeue-Light" w:hAnsi="HelveticaNeue-Light" w:cs="HelveticaNeue-Light"/>
          <w:color w:val="000000"/>
          <w:sz w:val="22"/>
          <w:szCs w:val="22"/>
        </w:rPr>
        <w:t xml:space="preserve">Conventional </w:t>
      </w:r>
      <w:r w:rsidR="004C3182">
        <w:rPr>
          <w:rFonts w:ascii="HelveticaNeue-Light" w:hAnsi="HelveticaNeue-Light" w:cs="HelveticaNeue-Light"/>
          <w:color w:val="000000"/>
          <w:sz w:val="22"/>
          <w:szCs w:val="22"/>
        </w:rPr>
        <w:t xml:space="preserve"> or end-point </w:t>
      </w:r>
      <w:r w:rsidRPr="00B31EF7">
        <w:rPr>
          <w:rFonts w:ascii="HelveticaNeue-Light" w:hAnsi="HelveticaNeue-Light" w:cs="HelveticaNeue-Light"/>
          <w:color w:val="000000"/>
          <w:sz w:val="22"/>
          <w:szCs w:val="22"/>
        </w:rPr>
        <w:t xml:space="preserve">PCR </w:t>
      </w:r>
      <w:r w:rsidR="00433932">
        <w:rPr>
          <w:rFonts w:ascii="HelveticaNeue-Light" w:hAnsi="HelveticaNeue-Light" w:cs="HelveticaNeue-Light"/>
          <w:color w:val="000000"/>
          <w:sz w:val="22"/>
          <w:szCs w:val="22"/>
        </w:rPr>
        <w:t xml:space="preserve">works </w:t>
      </w:r>
      <w:r w:rsidRPr="00B31EF7">
        <w:rPr>
          <w:rFonts w:ascii="HelveticaNeue-Light" w:hAnsi="HelveticaNeue-Light" w:cs="HelveticaNeue-Light"/>
          <w:color w:val="000000"/>
          <w:sz w:val="22"/>
          <w:szCs w:val="22"/>
        </w:rPr>
        <w:t>well to detect the presence of the DNA that the primer pair</w:t>
      </w:r>
    </w:p>
    <w:p w:rsidR="00AF30F5" w:rsidRPr="00B31EF7" w:rsidRDefault="00AF30F5" w:rsidP="00AF30F5">
      <w:pPr>
        <w:autoSpaceDE w:val="0"/>
        <w:autoSpaceDN w:val="0"/>
        <w:adjustRightInd w:val="0"/>
        <w:rPr>
          <w:rFonts w:ascii="HelveticaNeue-Light" w:hAnsi="HelveticaNeue-Light" w:cs="HelveticaNeue-Light"/>
          <w:b/>
          <w:color w:val="000000"/>
          <w:sz w:val="22"/>
          <w:szCs w:val="22"/>
        </w:rPr>
      </w:pPr>
      <w:r w:rsidRPr="00B31EF7">
        <w:rPr>
          <w:rFonts w:ascii="HelveticaNeue-Light" w:hAnsi="HelveticaNeue-Light" w:cs="HelveticaNeue-Light"/>
          <w:color w:val="000000"/>
          <w:sz w:val="22"/>
          <w:szCs w:val="22"/>
        </w:rPr>
        <w:t xml:space="preserve">targets. Conventional PCR detects the amplified product (amplicon) by an </w:t>
      </w:r>
      <w:r w:rsidRPr="00B31EF7">
        <w:rPr>
          <w:rFonts w:ascii="HelveticaNeue-Light" w:hAnsi="HelveticaNeue-Light" w:cs="HelveticaNeue-Light"/>
          <w:b/>
          <w:color w:val="000000"/>
          <w:sz w:val="22"/>
          <w:szCs w:val="22"/>
        </w:rPr>
        <w:t>end-point</w:t>
      </w:r>
    </w:p>
    <w:p w:rsidR="00AF30F5" w:rsidRPr="00B31EF7" w:rsidRDefault="00AF30F5" w:rsidP="00AF30F5">
      <w:pPr>
        <w:autoSpaceDE w:val="0"/>
        <w:autoSpaceDN w:val="0"/>
        <w:adjustRightInd w:val="0"/>
        <w:rPr>
          <w:rFonts w:ascii="HelveticaNeue-Light" w:hAnsi="HelveticaNeue-Light" w:cs="HelveticaNeue-Light"/>
          <w:color w:val="000000"/>
          <w:sz w:val="22"/>
          <w:szCs w:val="22"/>
        </w:rPr>
      </w:pPr>
      <w:r w:rsidRPr="00B31EF7">
        <w:rPr>
          <w:rFonts w:ascii="HelveticaNeue-Light" w:hAnsi="HelveticaNeue-Light" w:cs="HelveticaNeue-Light"/>
          <w:b/>
          <w:color w:val="000000"/>
          <w:sz w:val="22"/>
          <w:szCs w:val="22"/>
        </w:rPr>
        <w:t>analysis — running the DNA on an agarose gel after the reactions are completed</w:t>
      </w:r>
      <w:r w:rsidR="00B31EF7">
        <w:rPr>
          <w:rFonts w:ascii="HelveticaNeue-Light" w:hAnsi="HelveticaNeue-Light" w:cs="HelveticaNeue-Light"/>
          <w:color w:val="000000"/>
          <w:sz w:val="22"/>
          <w:szCs w:val="22"/>
        </w:rPr>
        <w:t xml:space="preserve">. If the </w:t>
      </w:r>
      <w:r w:rsidRPr="00B31EF7">
        <w:rPr>
          <w:rFonts w:ascii="HelveticaNeue-Light" w:hAnsi="HelveticaNeue-Light" w:cs="HelveticaNeue-Light"/>
          <w:color w:val="000000"/>
          <w:sz w:val="22"/>
          <w:szCs w:val="22"/>
        </w:rPr>
        <w:t>target DNA sequence is not there, no amplicon will appear on the agarose gel. If as</w:t>
      </w:r>
      <w:r w:rsidR="00A164D9">
        <w:rPr>
          <w:rFonts w:ascii="HelveticaNeue-Light" w:hAnsi="HelveticaNeue-Light" w:cs="HelveticaNeue-Light"/>
          <w:color w:val="000000"/>
          <w:sz w:val="22"/>
          <w:szCs w:val="22"/>
        </w:rPr>
        <w:t xml:space="preserve"> l</w:t>
      </w:r>
      <w:r w:rsidRPr="00B31EF7">
        <w:rPr>
          <w:rFonts w:ascii="HelveticaNeue-Light" w:hAnsi="HelveticaNeue-Light" w:cs="HelveticaNeue-Light"/>
          <w:color w:val="000000"/>
          <w:sz w:val="22"/>
          <w:szCs w:val="22"/>
        </w:rPr>
        <w:t xml:space="preserve">ittle as a single DNA molecule that contains the target DNA sequence is in the </w:t>
      </w:r>
      <w:r w:rsidR="00433932" w:rsidRPr="00B31EF7">
        <w:rPr>
          <w:rFonts w:ascii="HelveticaNeue-Light" w:hAnsi="HelveticaNeue-Light" w:cs="HelveticaNeue-Light"/>
          <w:color w:val="000000"/>
          <w:sz w:val="22"/>
          <w:szCs w:val="22"/>
        </w:rPr>
        <w:t>sample, the</w:t>
      </w:r>
      <w:r w:rsidRPr="00B31EF7">
        <w:rPr>
          <w:rFonts w:ascii="HelveticaNeue-Light" w:hAnsi="HelveticaNeue-Light" w:cs="HelveticaNeue-Light"/>
          <w:color w:val="000000"/>
          <w:sz w:val="22"/>
          <w:szCs w:val="22"/>
        </w:rPr>
        <w:t xml:space="preserve"> amplification by 25-30 cycles is sufficient to generate detectable amplicons via</w:t>
      </w:r>
      <w:r w:rsidR="00A164D9">
        <w:rPr>
          <w:rFonts w:ascii="HelveticaNeue-Light" w:hAnsi="HelveticaNeue-Light" w:cs="HelveticaNeue-Light"/>
          <w:color w:val="000000"/>
          <w:sz w:val="22"/>
          <w:szCs w:val="22"/>
        </w:rPr>
        <w:t xml:space="preserve"> e</w:t>
      </w:r>
      <w:r w:rsidRPr="00B31EF7">
        <w:rPr>
          <w:rFonts w:ascii="HelveticaNeue-Light" w:hAnsi="HelveticaNeue-Light" w:cs="HelveticaNeue-Light"/>
          <w:color w:val="000000"/>
          <w:sz w:val="22"/>
          <w:szCs w:val="22"/>
        </w:rPr>
        <w:t>lectrophoresis. Thus, conventional PCR makes a highly sensitive assay for specific</w:t>
      </w:r>
    </w:p>
    <w:p w:rsidR="00AF30F5" w:rsidRPr="00B31EF7" w:rsidRDefault="00AF30F5" w:rsidP="00AF30F5">
      <w:pPr>
        <w:autoSpaceDE w:val="0"/>
        <w:autoSpaceDN w:val="0"/>
        <w:adjustRightInd w:val="0"/>
        <w:rPr>
          <w:rFonts w:ascii="HelveticaNeue-Light" w:hAnsi="HelveticaNeue-Light" w:cs="HelveticaNeue-Light"/>
          <w:color w:val="000000"/>
          <w:sz w:val="22"/>
          <w:szCs w:val="22"/>
        </w:rPr>
      </w:pPr>
      <w:r w:rsidRPr="00B31EF7">
        <w:rPr>
          <w:rFonts w:ascii="HelveticaNeue-Light" w:hAnsi="HelveticaNeue-Light" w:cs="HelveticaNeue-Light"/>
          <w:color w:val="000000"/>
          <w:sz w:val="22"/>
          <w:szCs w:val="22"/>
        </w:rPr>
        <w:t>DNA sequence, which is useful for the diagnosis of diseases, especially viral types. It is</w:t>
      </w:r>
      <w:r w:rsidR="00433932">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also a rapid, highly sensitive and specific assay for microbes in environmental samples.</w:t>
      </w:r>
      <w:r w:rsidR="00433932">
        <w:rPr>
          <w:rFonts w:ascii="HelveticaNeue-Light" w:hAnsi="HelveticaNeue-Light" w:cs="HelveticaNeue-Light"/>
          <w:color w:val="000000"/>
          <w:sz w:val="22"/>
          <w:szCs w:val="22"/>
        </w:rPr>
        <w:t xml:space="preserve"> It is  routinely used for differentiating genotypes in  human samples.  </w:t>
      </w:r>
      <w:r w:rsidR="00A164D9">
        <w:rPr>
          <w:rFonts w:ascii="HelveticaNeue-Light" w:hAnsi="HelveticaNeue-Light" w:cs="HelveticaNeue-Light"/>
          <w:color w:val="000000"/>
          <w:sz w:val="22"/>
          <w:szCs w:val="22"/>
        </w:rPr>
        <w:t>Results of such assays are often used in paternity testing and in crime scene analysis.</w:t>
      </w:r>
    </w:p>
    <w:p w:rsidR="00A164D9" w:rsidRDefault="00A164D9" w:rsidP="00AF30F5">
      <w:pPr>
        <w:autoSpaceDE w:val="0"/>
        <w:autoSpaceDN w:val="0"/>
        <w:adjustRightInd w:val="0"/>
        <w:rPr>
          <w:rFonts w:ascii="HelveticaNeue-Light" w:hAnsi="HelveticaNeue-Light" w:cs="HelveticaNeue-Light"/>
          <w:color w:val="000000"/>
          <w:sz w:val="22"/>
          <w:szCs w:val="22"/>
        </w:rPr>
      </w:pPr>
    </w:p>
    <w:p w:rsidR="00AF30F5" w:rsidRDefault="00AF30F5" w:rsidP="00AF30F5">
      <w:pPr>
        <w:autoSpaceDE w:val="0"/>
        <w:autoSpaceDN w:val="0"/>
        <w:adjustRightInd w:val="0"/>
        <w:rPr>
          <w:rFonts w:ascii="HelveticaNeue-Light" w:hAnsi="HelveticaNeue-Light" w:cs="HelveticaNeue-Light"/>
          <w:color w:val="000000"/>
          <w:sz w:val="22"/>
          <w:szCs w:val="22"/>
        </w:rPr>
      </w:pPr>
      <w:r w:rsidRPr="00B31EF7">
        <w:rPr>
          <w:rFonts w:ascii="HelveticaNeue-Light" w:hAnsi="HelveticaNeue-Light" w:cs="HelveticaNeue-Light"/>
          <w:color w:val="000000"/>
          <w:sz w:val="22"/>
          <w:szCs w:val="22"/>
        </w:rPr>
        <w:t xml:space="preserve">Through the use of </w:t>
      </w:r>
      <w:r w:rsidRPr="00A164D9">
        <w:rPr>
          <w:rFonts w:ascii="HelveticaNeue-Light" w:hAnsi="HelveticaNeue-Light" w:cs="HelveticaNeue-Light"/>
          <w:b/>
          <w:color w:val="000000"/>
          <w:sz w:val="22"/>
          <w:szCs w:val="22"/>
        </w:rPr>
        <w:t>reverse transcriptase</w:t>
      </w:r>
      <w:r w:rsidR="00D97D74">
        <w:rPr>
          <w:rFonts w:ascii="HelveticaNeue-Light" w:hAnsi="HelveticaNeue-Light" w:cs="HelveticaNeue-Light"/>
          <w:b/>
          <w:color w:val="000000"/>
          <w:sz w:val="22"/>
          <w:szCs w:val="22"/>
        </w:rPr>
        <w:t xml:space="preserve"> (an enzyme produced by retroviruses)</w:t>
      </w:r>
      <w:r w:rsidRPr="00B31EF7">
        <w:rPr>
          <w:rFonts w:ascii="HelveticaNeue-Light" w:hAnsi="HelveticaNeue-Light" w:cs="HelveticaNeue-Light"/>
          <w:color w:val="000000"/>
          <w:sz w:val="22"/>
          <w:szCs w:val="22"/>
        </w:rPr>
        <w:t>, conventional PCR has also become the</w:t>
      </w:r>
      <w:r w:rsidR="00D97D74">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standard for the detection of RNA targets, useful fo</w:t>
      </w:r>
      <w:r w:rsidR="00D97D74">
        <w:rPr>
          <w:rFonts w:ascii="HelveticaNeue-Light" w:hAnsi="HelveticaNeue-Light" w:cs="HelveticaNeue-Light"/>
          <w:color w:val="000000"/>
          <w:sz w:val="22"/>
          <w:szCs w:val="22"/>
        </w:rPr>
        <w:t xml:space="preserve">r analysis of gene expression in </w:t>
      </w:r>
      <w:r w:rsidRPr="00B31EF7">
        <w:rPr>
          <w:rFonts w:ascii="HelveticaNeue-Light" w:hAnsi="HelveticaNeue-Light" w:cs="HelveticaNeue-Light"/>
          <w:color w:val="000000"/>
          <w:sz w:val="22"/>
          <w:szCs w:val="22"/>
        </w:rPr>
        <w:t>research and medical diagnosis. In this case, reverse transcriptase generates DNA</w:t>
      </w:r>
      <w:r w:rsidR="00D97D74">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from an RNA template, forming a template for the PCR polymerase amplification.</w:t>
      </w:r>
      <w:r w:rsidR="00D97D74">
        <w:rPr>
          <w:rFonts w:ascii="HelveticaNeue-Light" w:hAnsi="HelveticaNeue-Light" w:cs="HelveticaNeue-Light"/>
          <w:color w:val="000000"/>
          <w:sz w:val="22"/>
          <w:szCs w:val="22"/>
        </w:rPr>
        <w:t xml:space="preserve">  T</w:t>
      </w:r>
      <w:r w:rsidR="00A164D9">
        <w:rPr>
          <w:rFonts w:ascii="HelveticaNeue-Light" w:hAnsi="HelveticaNeue-Light" w:cs="HelveticaNeue-Light"/>
          <w:color w:val="000000"/>
          <w:sz w:val="22"/>
          <w:szCs w:val="22"/>
        </w:rPr>
        <w:t xml:space="preserve">his type of PCR </w:t>
      </w:r>
      <w:r w:rsidR="00D97D74">
        <w:rPr>
          <w:rFonts w:ascii="HelveticaNeue-Light" w:hAnsi="HelveticaNeue-Light" w:cs="HelveticaNeue-Light"/>
          <w:color w:val="000000"/>
          <w:sz w:val="22"/>
          <w:szCs w:val="22"/>
        </w:rPr>
        <w:t>is often called rt-PCR, but does not necessarily imply that real-time methods are used (see below.)</w:t>
      </w:r>
      <w:r w:rsidR="00A164D9">
        <w:rPr>
          <w:rFonts w:ascii="HelveticaNeue-Light" w:hAnsi="HelveticaNeue-Light" w:cs="HelveticaNeue-Light"/>
          <w:color w:val="000000"/>
          <w:sz w:val="22"/>
          <w:szCs w:val="22"/>
        </w:rPr>
        <w:t xml:space="preserve"> </w:t>
      </w:r>
    </w:p>
    <w:p w:rsidR="00A164D9" w:rsidRPr="00B31EF7" w:rsidRDefault="00A164D9" w:rsidP="00AF30F5">
      <w:pPr>
        <w:autoSpaceDE w:val="0"/>
        <w:autoSpaceDN w:val="0"/>
        <w:adjustRightInd w:val="0"/>
        <w:rPr>
          <w:rFonts w:ascii="HelveticaNeue-Light" w:hAnsi="HelveticaNeue-Light" w:cs="HelveticaNeue-Light"/>
          <w:color w:val="000000"/>
          <w:sz w:val="22"/>
          <w:szCs w:val="22"/>
        </w:rPr>
      </w:pPr>
    </w:p>
    <w:p w:rsidR="00D97D74" w:rsidRDefault="00AF30F5" w:rsidP="00AF30F5">
      <w:pPr>
        <w:autoSpaceDE w:val="0"/>
        <w:autoSpaceDN w:val="0"/>
        <w:adjustRightInd w:val="0"/>
        <w:rPr>
          <w:rFonts w:ascii="HelveticaNeue-Light" w:hAnsi="HelveticaNeue-Light" w:cs="HelveticaNeue-Light"/>
          <w:color w:val="000000"/>
          <w:sz w:val="22"/>
          <w:szCs w:val="22"/>
        </w:rPr>
      </w:pPr>
      <w:r w:rsidRPr="00B31EF7">
        <w:rPr>
          <w:rFonts w:ascii="HelveticaNeue-Light" w:hAnsi="HelveticaNeue-Light" w:cs="HelveticaNeue-Light"/>
          <w:color w:val="000000"/>
          <w:sz w:val="22"/>
          <w:szCs w:val="22"/>
        </w:rPr>
        <w:t xml:space="preserve">Real-time PCR is based on the same principles as conventional PCR. The </w:t>
      </w:r>
      <w:r w:rsidR="00433932" w:rsidRPr="00B31EF7">
        <w:rPr>
          <w:rFonts w:ascii="HelveticaNeue-Light" w:hAnsi="HelveticaNeue-Light" w:cs="HelveticaNeue-Light"/>
          <w:color w:val="000000"/>
          <w:sz w:val="22"/>
          <w:szCs w:val="22"/>
        </w:rPr>
        <w:t>reaction requires</w:t>
      </w:r>
      <w:r w:rsidRPr="00B31EF7">
        <w:rPr>
          <w:rFonts w:ascii="HelveticaNeue-Light" w:hAnsi="HelveticaNeue-Light" w:cs="HelveticaNeue-Light"/>
          <w:color w:val="000000"/>
          <w:sz w:val="22"/>
          <w:szCs w:val="22"/>
        </w:rPr>
        <w:t xml:space="preserve"> both forward and reverse primers bracketing the target region (amplicon),nucleotides, and a DNA polymerase such as </w:t>
      </w:r>
      <w:r w:rsidRPr="00B31EF7">
        <w:rPr>
          <w:rFonts w:ascii="HelveticaNeue-LightItalic" w:hAnsi="HelveticaNeue-LightItalic" w:cs="HelveticaNeue-LightItalic"/>
          <w:i/>
          <w:iCs/>
          <w:color w:val="000000"/>
          <w:sz w:val="22"/>
          <w:szCs w:val="22"/>
        </w:rPr>
        <w:t>Taq</w:t>
      </w:r>
      <w:r w:rsidRPr="00B31EF7">
        <w:rPr>
          <w:rFonts w:ascii="HelveticaNeue-Light" w:hAnsi="HelveticaNeue-Light" w:cs="HelveticaNeue-Light"/>
          <w:color w:val="000000"/>
          <w:sz w:val="22"/>
          <w:szCs w:val="22"/>
        </w:rPr>
        <w:t xml:space="preserve">. However, real-time PCR allows </w:t>
      </w:r>
      <w:r w:rsidR="00433932" w:rsidRPr="00B31EF7">
        <w:rPr>
          <w:rFonts w:ascii="HelveticaNeue-Light" w:hAnsi="HelveticaNeue-Light" w:cs="HelveticaNeue-Light"/>
          <w:color w:val="000000"/>
          <w:sz w:val="22"/>
          <w:szCs w:val="22"/>
        </w:rPr>
        <w:t>the accumulation</w:t>
      </w:r>
      <w:r w:rsidRPr="00B31EF7">
        <w:rPr>
          <w:rFonts w:ascii="HelveticaNeue-Light" w:hAnsi="HelveticaNeue-Light" w:cs="HelveticaNeue-Light"/>
          <w:color w:val="000000"/>
          <w:sz w:val="22"/>
          <w:szCs w:val="22"/>
        </w:rPr>
        <w:t xml:space="preserve"> of amplified product to be detected and measured as the </w:t>
      </w:r>
      <w:r w:rsidR="00433932" w:rsidRPr="00B31EF7">
        <w:rPr>
          <w:rFonts w:ascii="HelveticaNeue-Light" w:hAnsi="HelveticaNeue-Light" w:cs="HelveticaNeue-Light"/>
          <w:color w:val="000000"/>
          <w:sz w:val="22"/>
          <w:szCs w:val="22"/>
        </w:rPr>
        <w:t>reaction progresses</w:t>
      </w:r>
      <w:r w:rsidRPr="00B31EF7">
        <w:rPr>
          <w:rFonts w:ascii="HelveticaNeue-Light" w:hAnsi="HelveticaNeue-Light" w:cs="HelveticaNeue-Light"/>
          <w:color w:val="000000"/>
          <w:sz w:val="22"/>
          <w:szCs w:val="22"/>
        </w:rPr>
        <w:t xml:space="preserve"> — in “real time”. The difference is the addition of a fluorescence </w:t>
      </w:r>
      <w:r w:rsidR="00433932" w:rsidRPr="00B31EF7">
        <w:rPr>
          <w:rFonts w:ascii="HelveticaNeue-Light" w:hAnsi="HelveticaNeue-Light" w:cs="HelveticaNeue-Light"/>
          <w:color w:val="000000"/>
          <w:sz w:val="22"/>
          <w:szCs w:val="22"/>
        </w:rPr>
        <w:t>chemistry, which</w:t>
      </w:r>
      <w:r w:rsidRPr="00B31EF7">
        <w:rPr>
          <w:rFonts w:ascii="HelveticaNeue-Light" w:hAnsi="HelveticaNeue-Light" w:cs="HelveticaNeue-Light"/>
          <w:color w:val="000000"/>
          <w:sz w:val="22"/>
          <w:szCs w:val="22"/>
        </w:rPr>
        <w:t xml:space="preserve"> enables product amplification to be monitored throughout the entire real-time</w:t>
      </w:r>
      <w:r w:rsidR="00433932">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reaction us</w:t>
      </w:r>
      <w:r w:rsidR="00433932">
        <w:rPr>
          <w:rFonts w:ascii="HelveticaNeue-Light" w:hAnsi="HelveticaNeue-Light" w:cs="HelveticaNeue-Light"/>
          <w:color w:val="000000"/>
          <w:sz w:val="22"/>
          <w:szCs w:val="22"/>
        </w:rPr>
        <w:t xml:space="preserve">ing specialized thermal cyclers </w:t>
      </w:r>
      <w:r w:rsidRPr="00B31EF7">
        <w:rPr>
          <w:rFonts w:ascii="HelveticaNeue-Light" w:hAnsi="HelveticaNeue-Light" w:cs="HelveticaNeue-Light"/>
          <w:color w:val="000000"/>
          <w:sz w:val="22"/>
          <w:szCs w:val="22"/>
        </w:rPr>
        <w:t>equipped with fluorescence detection</w:t>
      </w:r>
      <w:r w:rsidR="00433932">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modules. The measured fluorescence reflects the amount of amplified product in each</w:t>
      </w:r>
      <w:r w:rsidR="00433932">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cycle. Real-time PCR results can either be qualitative (presence or absence of a</w:t>
      </w:r>
      <w:r w:rsidR="00433932">
        <w:rPr>
          <w:rFonts w:ascii="HelveticaNeue-Light" w:hAnsi="HelveticaNeue-Light" w:cs="HelveticaNeue-Light"/>
          <w:color w:val="000000"/>
          <w:sz w:val="22"/>
          <w:szCs w:val="22"/>
        </w:rPr>
        <w:t xml:space="preserve"> </w:t>
      </w:r>
      <w:r w:rsidRPr="00B31EF7">
        <w:rPr>
          <w:rFonts w:ascii="HelveticaNeue-Light" w:hAnsi="HelveticaNeue-Light" w:cs="HelveticaNeue-Light"/>
          <w:color w:val="000000"/>
          <w:sz w:val="22"/>
          <w:szCs w:val="22"/>
        </w:rPr>
        <w:t xml:space="preserve">sequence) or quantitative (number of copies of DNA). </w:t>
      </w:r>
    </w:p>
    <w:p w:rsidR="00D97D74" w:rsidRDefault="00D97D74" w:rsidP="00AF30F5">
      <w:pPr>
        <w:autoSpaceDE w:val="0"/>
        <w:autoSpaceDN w:val="0"/>
        <w:adjustRightInd w:val="0"/>
        <w:rPr>
          <w:rFonts w:ascii="HelveticaNeue-Light" w:hAnsi="HelveticaNeue-Light" w:cs="HelveticaNeue-Light"/>
          <w:color w:val="000000"/>
          <w:sz w:val="22"/>
          <w:szCs w:val="22"/>
        </w:rPr>
      </w:pPr>
    </w:p>
    <w:p w:rsidR="00AF30F5" w:rsidRDefault="00AF30F5" w:rsidP="00AF30F5">
      <w:pPr>
        <w:autoSpaceDE w:val="0"/>
        <w:autoSpaceDN w:val="0"/>
        <w:adjustRightInd w:val="0"/>
        <w:rPr>
          <w:rFonts w:ascii="HelveticaNeue-Light" w:hAnsi="HelveticaNeue-Light" w:cs="HelveticaNeue-Light"/>
          <w:color w:val="000000"/>
          <w:sz w:val="22"/>
          <w:szCs w:val="22"/>
        </w:rPr>
      </w:pPr>
      <w:r w:rsidRPr="00D97D74">
        <w:rPr>
          <w:rFonts w:ascii="HelveticaNeue-Light" w:hAnsi="HelveticaNeue-Light" w:cs="HelveticaNeue-Light"/>
          <w:color w:val="000000"/>
          <w:sz w:val="22"/>
          <w:szCs w:val="22"/>
        </w:rPr>
        <w:t>Real-time PCR that is quantitative</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 xml:space="preserve">is also known as </w:t>
      </w:r>
      <w:r w:rsidRPr="00D97D74">
        <w:rPr>
          <w:rFonts w:ascii="HelveticaNeue-Light" w:hAnsi="HelveticaNeue-Light" w:cs="HelveticaNeue-Light"/>
          <w:b/>
          <w:color w:val="000000"/>
          <w:sz w:val="22"/>
          <w:szCs w:val="22"/>
        </w:rPr>
        <w:t>qPCR</w:t>
      </w:r>
      <w:r w:rsidRPr="00D97D74">
        <w:rPr>
          <w:rFonts w:ascii="HelveticaNeue-Light" w:hAnsi="HelveticaNeue-Light" w:cs="HelveticaNeue-Light"/>
          <w:color w:val="000000"/>
          <w:sz w:val="22"/>
          <w:szCs w:val="22"/>
        </w:rPr>
        <w:t>. The main advantage of using real-time PCR over conventional</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PCR is that real-time PCR allows you to determine the starting template copy number</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with accuracy and high sensitivity over a wide dynamic range. Conventional PCR can</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at be</w:t>
      </w:r>
      <w:r w:rsidR="00D97D74">
        <w:rPr>
          <w:rFonts w:ascii="HelveticaNeue-Light" w:hAnsi="HelveticaNeue-Light" w:cs="HelveticaNeue-Light"/>
          <w:color w:val="000000"/>
          <w:sz w:val="22"/>
          <w:szCs w:val="22"/>
        </w:rPr>
        <w:t xml:space="preserve">st be semi-quantitative and the </w:t>
      </w:r>
      <w:r w:rsidRPr="00D97D74">
        <w:rPr>
          <w:rFonts w:ascii="HelveticaNeue-Light" w:hAnsi="HelveticaNeue-Light" w:cs="HelveticaNeue-Light"/>
          <w:color w:val="000000"/>
          <w:sz w:val="22"/>
          <w:szCs w:val="22"/>
        </w:rPr>
        <w:t>methods to obtain quantitative data can be quite</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complicated. One advantage of conventional PCR is better determination of the sizes of</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the amplified PCR products using conventional gel electrophoresis. Therefore, separating</w:t>
      </w:r>
      <w:r w:rsidR="00D97D74">
        <w:rPr>
          <w:rFonts w:ascii="HelveticaNeue-Light" w:hAnsi="HelveticaNeue-Light" w:cs="HelveticaNeue-Light"/>
          <w:color w:val="000000"/>
          <w:sz w:val="22"/>
          <w:szCs w:val="22"/>
        </w:rPr>
        <w:t xml:space="preserve"> </w:t>
      </w:r>
      <w:r w:rsidRPr="00D97D74">
        <w:rPr>
          <w:rFonts w:ascii="HelveticaNeue-Light" w:hAnsi="HelveticaNeue-Light" w:cs="HelveticaNeue-Light"/>
          <w:color w:val="000000"/>
          <w:sz w:val="22"/>
          <w:szCs w:val="22"/>
        </w:rPr>
        <w:t>the real-time PCR products on a gel following amplification allows the visualization and</w:t>
      </w:r>
      <w:r w:rsidR="00D97D74">
        <w:rPr>
          <w:rFonts w:ascii="HelveticaNeue-Light" w:hAnsi="HelveticaNeue-Light" w:cs="HelveticaNeue-Light"/>
          <w:color w:val="000000"/>
          <w:sz w:val="22"/>
          <w:szCs w:val="22"/>
        </w:rPr>
        <w:t xml:space="preserve"> d</w:t>
      </w:r>
      <w:r w:rsidRPr="00D97D74">
        <w:rPr>
          <w:rFonts w:ascii="HelveticaNeue-Light" w:hAnsi="HelveticaNeue-Light" w:cs="HelveticaNeue-Light"/>
          <w:color w:val="000000"/>
          <w:sz w:val="22"/>
          <w:szCs w:val="22"/>
        </w:rPr>
        <w:t>etermination of the size of the amplified products.</w:t>
      </w:r>
    </w:p>
    <w:p w:rsidR="00D97D74" w:rsidRDefault="00D97D74" w:rsidP="00AF30F5">
      <w:pPr>
        <w:autoSpaceDE w:val="0"/>
        <w:autoSpaceDN w:val="0"/>
        <w:adjustRightInd w:val="0"/>
        <w:rPr>
          <w:rFonts w:ascii="HelveticaNeue-Light" w:hAnsi="HelveticaNeue-Light" w:cs="HelveticaNeue-Light"/>
          <w:color w:val="000000"/>
          <w:sz w:val="22"/>
          <w:szCs w:val="22"/>
        </w:rPr>
      </w:pPr>
    </w:p>
    <w:p w:rsidR="00D97D74" w:rsidRPr="00D97D74" w:rsidRDefault="00D97D74" w:rsidP="00AF30F5">
      <w:pPr>
        <w:autoSpaceDE w:val="0"/>
        <w:autoSpaceDN w:val="0"/>
        <w:adjustRightInd w:val="0"/>
        <w:rPr>
          <w:rFonts w:ascii="HelveticaNeue-Light" w:hAnsi="HelveticaNeue-Light" w:cs="HelveticaNeue-Light"/>
          <w:color w:val="000000"/>
          <w:sz w:val="22"/>
          <w:szCs w:val="22"/>
        </w:rPr>
      </w:pPr>
    </w:p>
    <w:p w:rsidR="00AF30F5" w:rsidRPr="00D97D74" w:rsidRDefault="00AF30F5" w:rsidP="00AF30F5">
      <w:pPr>
        <w:autoSpaceDE w:val="0"/>
        <w:autoSpaceDN w:val="0"/>
        <w:adjustRightInd w:val="0"/>
        <w:rPr>
          <w:rFonts w:ascii="HelveticaNeue-Heavy" w:hAnsi="HelveticaNeue-Heavy" w:cs="HelveticaNeue-Heavy"/>
          <w:b/>
          <w:color w:val="000000"/>
          <w:u w:val="single"/>
        </w:rPr>
      </w:pPr>
      <w:r w:rsidRPr="00D97D74">
        <w:rPr>
          <w:rFonts w:ascii="HelveticaNeue-Heavy" w:hAnsi="HelveticaNeue-Heavy" w:cs="HelveticaNeue-Heavy"/>
          <w:b/>
          <w:color w:val="000000"/>
          <w:u w:val="single"/>
        </w:rPr>
        <w:t>How Real-Time PCR Works</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To best understand how real-time PCR works, think of what is happening in a PCR</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reaction. During the first cycles of a PCR reaction, the amount of amplicon doubles.</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amount of amplicon after each cycle then multiplies exponentially in proportion to</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starting amount of template in the sample. At some point, this doubling slows as the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amount of substrate, nucleotides, and primers become used up. The DNA polymerase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also becomes less active after the prolonged heating within the thermal cycler. The loss</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of doubling efficiency results in a plateau effect and the amount of amplicon produced</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with the later thermal cycles is no longer proportional to the amount of template DNA in</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sample (Figure 1). After enough cycles, all amplicons reach a certain maximum</w:t>
      </w:r>
    </w:p>
    <w:p w:rsidR="00AF30F5"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concentration, regardless of the initial concentration of template DNA.</w:t>
      </w:r>
    </w:p>
    <w:p w:rsidR="00CD22DD" w:rsidRDefault="00CD22DD" w:rsidP="00AF30F5">
      <w:pPr>
        <w:autoSpaceDE w:val="0"/>
        <w:autoSpaceDN w:val="0"/>
        <w:adjustRightInd w:val="0"/>
        <w:rPr>
          <w:rFonts w:ascii="HelveticaNeue-Light" w:hAnsi="HelveticaNeue-Light" w:cs="HelveticaNeue-Light"/>
          <w:color w:val="000000"/>
          <w:sz w:val="22"/>
          <w:szCs w:val="22"/>
        </w:rPr>
      </w:pPr>
    </w:p>
    <w:p w:rsidR="00CD22DD" w:rsidRDefault="00CD22DD" w:rsidP="00AF30F5">
      <w:pPr>
        <w:autoSpaceDE w:val="0"/>
        <w:autoSpaceDN w:val="0"/>
        <w:adjustRightInd w:val="0"/>
        <w:rPr>
          <w:rFonts w:ascii="HelveticaNeue-Light" w:hAnsi="HelveticaNeue-Light" w:cs="HelveticaNeue-Light"/>
          <w:color w:val="000000"/>
          <w:sz w:val="22"/>
          <w:szCs w:val="22"/>
        </w:rPr>
      </w:pPr>
    </w:p>
    <w:p w:rsidR="00CD22DD" w:rsidRPr="00CD22DD" w:rsidRDefault="00F8500F" w:rsidP="00AF30F5">
      <w:pPr>
        <w:autoSpaceDE w:val="0"/>
        <w:autoSpaceDN w:val="0"/>
        <w:adjustRightInd w:val="0"/>
        <w:rPr>
          <w:rFonts w:ascii="HelveticaNeue-Light" w:hAnsi="HelveticaNeue-Light" w:cs="HelveticaNeue-Light"/>
          <w:color w:val="000000"/>
          <w:sz w:val="22"/>
          <w:szCs w:val="22"/>
        </w:rPr>
      </w:pPr>
      <w:r>
        <w:rPr>
          <w:rFonts w:ascii="HelveticaNeue-Light" w:hAnsi="HelveticaNeue-Light" w:cs="HelveticaNeue-Light"/>
          <w:noProof/>
          <w:color w:val="000000"/>
          <w:sz w:val="22"/>
          <w:szCs w:val="22"/>
        </w:rPr>
        <w:drawing>
          <wp:inline distT="0" distB="0" distL="0" distR="0">
            <wp:extent cx="50546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0" cy="3454400"/>
                    </a:xfrm>
                    <a:prstGeom prst="rect">
                      <a:avLst/>
                    </a:prstGeom>
                    <a:noFill/>
                    <a:ln>
                      <a:noFill/>
                    </a:ln>
                  </pic:spPr>
                </pic:pic>
              </a:graphicData>
            </a:graphic>
          </wp:inline>
        </w:drawing>
      </w:r>
    </w:p>
    <w:p w:rsidR="00AF30F5"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Bold" w:hAnsi="HelveticaNeue-Bold" w:cs="HelveticaNeue-Bold"/>
          <w:b/>
          <w:bCs/>
          <w:color w:val="000000"/>
          <w:sz w:val="22"/>
          <w:szCs w:val="22"/>
        </w:rPr>
        <w:t xml:space="preserve">Figure 1. Amplification plot. </w:t>
      </w:r>
      <w:r w:rsidRPr="00CD22DD">
        <w:rPr>
          <w:rFonts w:ascii="HelveticaNeue-Light" w:hAnsi="HelveticaNeue-Light" w:cs="HelveticaNeue-Light"/>
          <w:color w:val="000000"/>
          <w:sz w:val="22"/>
          <w:szCs w:val="22"/>
        </w:rPr>
        <w:t>During the exponential phase, the amount of PCR p</w:t>
      </w:r>
      <w:r w:rsidR="00CD22DD">
        <w:rPr>
          <w:rFonts w:ascii="HelveticaNeue-Light" w:hAnsi="HelveticaNeue-Light" w:cs="HelveticaNeue-Light"/>
          <w:color w:val="000000"/>
          <w:sz w:val="22"/>
          <w:szCs w:val="22"/>
        </w:rPr>
        <w:t xml:space="preserve">roduct approximately doubles in </w:t>
      </w:r>
      <w:r w:rsidRPr="00CD22DD">
        <w:rPr>
          <w:rFonts w:ascii="HelveticaNeue-Light" w:hAnsi="HelveticaNeue-Light" w:cs="HelveticaNeue-Light"/>
          <w:color w:val="000000"/>
          <w:sz w:val="22"/>
          <w:szCs w:val="22"/>
        </w:rPr>
        <w:t>each cycle. As the reaction proceeds and reaction components are consumed, the reaction slows and enters the</w:t>
      </w:r>
      <w:r w:rsidR="00CD22DD">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plateau phase.</w:t>
      </w:r>
    </w:p>
    <w:p w:rsidR="00CD22DD" w:rsidRDefault="00CD22DD" w:rsidP="00AF30F5">
      <w:pPr>
        <w:autoSpaceDE w:val="0"/>
        <w:autoSpaceDN w:val="0"/>
        <w:adjustRightInd w:val="0"/>
        <w:rPr>
          <w:rFonts w:ascii="HelveticaNeue-Light" w:hAnsi="HelveticaNeue-Light" w:cs="HelveticaNeue-Light"/>
          <w:color w:val="000000"/>
          <w:sz w:val="22"/>
          <w:szCs w:val="22"/>
        </w:rPr>
      </w:pPr>
    </w:p>
    <w:p w:rsidR="00CD22DD" w:rsidRDefault="00CD22DD" w:rsidP="00AF30F5">
      <w:pPr>
        <w:autoSpaceDE w:val="0"/>
        <w:autoSpaceDN w:val="0"/>
        <w:adjustRightInd w:val="0"/>
        <w:rPr>
          <w:rFonts w:ascii="HelveticaNeue-Light" w:hAnsi="HelveticaNeue-Light" w:cs="HelveticaNeue-Light"/>
          <w:color w:val="000000"/>
          <w:sz w:val="22"/>
          <w:szCs w:val="22"/>
        </w:rPr>
      </w:pPr>
    </w:p>
    <w:p w:rsidR="00CD22DD" w:rsidRPr="00CD22DD" w:rsidRDefault="00CD22DD" w:rsidP="00AF30F5">
      <w:pPr>
        <w:autoSpaceDE w:val="0"/>
        <w:autoSpaceDN w:val="0"/>
        <w:adjustRightInd w:val="0"/>
        <w:rPr>
          <w:rFonts w:ascii="HelveticaNeue-Light" w:hAnsi="HelveticaNeue-Light" w:cs="HelveticaNeue-Light"/>
          <w:color w:val="000000"/>
          <w:sz w:val="22"/>
          <w:szCs w:val="22"/>
        </w:rPr>
      </w:pP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key to determining the quantity of original template DNA present in a sample during</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amplification is to examine the initial thermal cycles before reaching the plateau region of</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amplification. To do this, the level of amplification is monitored continuously during the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thermal cycling. Initially, fluorescence remains at background levels, and increases in</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fluorescence are not detectable (cycles 1–18 in Figure 1) even though PCR product</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accumulates exponentially. Eventually, enough amplified product accumulates to yield</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 detectable fluorescent signal. The cycle number at which this occurs is called the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lastRenderedPageBreak/>
        <w:t>threshold cycle, or C</w:t>
      </w:r>
      <w:r w:rsidRPr="00CD22DD">
        <w:rPr>
          <w:rFonts w:ascii="HelveticaNeue-Light" w:hAnsi="HelveticaNeue-Light" w:cs="HelveticaNeue-Light"/>
          <w:color w:val="000000"/>
          <w:sz w:val="22"/>
          <w:szCs w:val="22"/>
          <w:vertAlign w:val="subscript"/>
        </w:rPr>
        <w:t>T</w:t>
      </w:r>
      <w:r w:rsidRPr="00CD22DD">
        <w:rPr>
          <w:rFonts w:ascii="HelveticaNeue-Light" w:hAnsi="HelveticaNeue-Light" w:cs="HelveticaNeue-Light"/>
          <w:color w:val="000000"/>
          <w:sz w:val="22"/>
          <w:szCs w:val="22"/>
        </w:rPr>
        <w:t xml:space="preserve">. Since the </w:t>
      </w:r>
      <w:r w:rsidR="00CD22DD" w:rsidRPr="00CD22DD">
        <w:rPr>
          <w:rFonts w:ascii="HelveticaNeue-Light" w:hAnsi="HelveticaNeue-Light" w:cs="HelveticaNeue-Light"/>
          <w:color w:val="000000"/>
          <w:sz w:val="22"/>
          <w:szCs w:val="22"/>
        </w:rPr>
        <w:t>C</w:t>
      </w:r>
      <w:r w:rsidR="00CD22DD" w:rsidRPr="00CD22DD">
        <w:rPr>
          <w:rFonts w:ascii="HelveticaNeue-Light" w:hAnsi="HelveticaNeue-Light" w:cs="HelveticaNeue-Light"/>
          <w:color w:val="000000"/>
          <w:sz w:val="22"/>
          <w:szCs w:val="22"/>
          <w:vertAlign w:val="subscript"/>
        </w:rPr>
        <w:t>T</w:t>
      </w:r>
      <w:r w:rsidRPr="00CD22DD">
        <w:rPr>
          <w:rFonts w:ascii="HelveticaNeue-Light" w:hAnsi="HelveticaNeue-Light" w:cs="HelveticaNeue-Light"/>
          <w:color w:val="000000"/>
          <w:sz w:val="22"/>
          <w:szCs w:val="22"/>
        </w:rPr>
        <w:t xml:space="preserve"> value is measured in the exponential phase when</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reagents are not limited, real-time qPCR can be used to reliably and accurately calculate</w:t>
      </w:r>
    </w:p>
    <w:p w:rsidR="00AF30F5"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initial amount of template present in the reaction.</w:t>
      </w:r>
    </w:p>
    <w:p w:rsidR="00CD22DD" w:rsidRPr="00CD22DD" w:rsidRDefault="00CD22DD" w:rsidP="00AF30F5">
      <w:pPr>
        <w:autoSpaceDE w:val="0"/>
        <w:autoSpaceDN w:val="0"/>
        <w:adjustRightInd w:val="0"/>
        <w:rPr>
          <w:rFonts w:ascii="HelveticaNeue-Light" w:hAnsi="HelveticaNeue-Light" w:cs="HelveticaNeue-Light"/>
          <w:color w:val="000000"/>
          <w:sz w:val="22"/>
          <w:szCs w:val="22"/>
        </w:rPr>
      </w:pP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C</w:t>
      </w:r>
      <w:r w:rsidRPr="00CD22DD">
        <w:rPr>
          <w:rFonts w:ascii="HelveticaNeue-Light" w:hAnsi="HelveticaNeue-Light" w:cs="HelveticaNeue-Light"/>
          <w:color w:val="000000"/>
          <w:sz w:val="22"/>
          <w:szCs w:val="22"/>
          <w:vertAlign w:val="subscript"/>
        </w:rPr>
        <w:t>T</w:t>
      </w:r>
      <w:r w:rsidRPr="00CD22DD">
        <w:rPr>
          <w:rFonts w:ascii="HelveticaNeue-Light" w:hAnsi="HelveticaNeue-Light" w:cs="HelveticaNeue-Light"/>
          <w:color w:val="000000"/>
          <w:sz w:val="22"/>
          <w:szCs w:val="22"/>
        </w:rPr>
        <w:t xml:space="preserve"> of a reaction is determined mainly by the amount of template present at the start</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of the amplification reaction. If a large amount of template is present at the start of the</w:t>
      </w:r>
    </w:p>
    <w:p w:rsidR="00AF30F5"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reaction, relatively few amplification cycles will be requir</w:t>
      </w:r>
      <w:r w:rsidR="00CD22DD">
        <w:rPr>
          <w:rFonts w:ascii="HelveticaNeue-Light" w:hAnsi="HelveticaNeue-Light" w:cs="HelveticaNeue-Light"/>
          <w:color w:val="000000"/>
          <w:sz w:val="22"/>
          <w:szCs w:val="22"/>
        </w:rPr>
        <w:t xml:space="preserve">ed to accumulate enough product </w:t>
      </w:r>
      <w:r w:rsidRPr="00CD22DD">
        <w:rPr>
          <w:rFonts w:ascii="HelveticaNeue-Light" w:hAnsi="HelveticaNeue-Light" w:cs="HelveticaNeue-Light"/>
          <w:color w:val="000000"/>
          <w:sz w:val="22"/>
          <w:szCs w:val="22"/>
        </w:rPr>
        <w:t>to give a fluorescent signal above background. Thus, the reaction will have a low, or early,</w:t>
      </w:r>
      <w:r w:rsidR="00CD22DD">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C</w:t>
      </w:r>
      <w:r w:rsidRPr="00CD22DD">
        <w:rPr>
          <w:rFonts w:ascii="HelveticaNeue-Light" w:hAnsi="HelveticaNeue-Light" w:cs="HelveticaNeue-Light"/>
          <w:color w:val="000000"/>
          <w:sz w:val="22"/>
          <w:szCs w:val="22"/>
          <w:vertAlign w:val="subscript"/>
        </w:rPr>
        <w:t>T</w:t>
      </w:r>
      <w:r w:rsidRPr="00CD22DD">
        <w:rPr>
          <w:rFonts w:ascii="HelveticaNeue-Light" w:hAnsi="HelveticaNeue-Light" w:cs="HelveticaNeue-Light"/>
          <w:color w:val="000000"/>
          <w:sz w:val="22"/>
          <w:szCs w:val="22"/>
        </w:rPr>
        <w:t>. In contrast, if a small amount of template is present at the start of the reaction, more</w:t>
      </w:r>
      <w:r w:rsidR="00CD22DD">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amplification cycles will be required for</w:t>
      </w:r>
      <w:r w:rsidR="00CD22DD">
        <w:rPr>
          <w:rFonts w:ascii="HelveticaNeue-Light" w:hAnsi="HelveticaNeue-Light" w:cs="HelveticaNeue-Light"/>
          <w:color w:val="000000"/>
          <w:sz w:val="22"/>
          <w:szCs w:val="22"/>
        </w:rPr>
        <w:t xml:space="preserve"> the fluorescent signal to rise </w:t>
      </w:r>
      <w:r w:rsidRPr="00CD22DD">
        <w:rPr>
          <w:rFonts w:ascii="HelveticaNeue-Light" w:hAnsi="HelveticaNeue-Light" w:cs="HelveticaNeue-Light"/>
          <w:color w:val="000000"/>
          <w:sz w:val="22"/>
          <w:szCs w:val="22"/>
        </w:rPr>
        <w:t>above background.</w:t>
      </w:r>
    </w:p>
    <w:p w:rsidR="00CD22DD" w:rsidRPr="00CD22DD" w:rsidRDefault="00CD22DD" w:rsidP="00AF30F5">
      <w:pPr>
        <w:autoSpaceDE w:val="0"/>
        <w:autoSpaceDN w:val="0"/>
        <w:adjustRightInd w:val="0"/>
        <w:rPr>
          <w:rFonts w:ascii="HelveticaNeue-Light" w:hAnsi="HelveticaNeue-Light" w:cs="HelveticaNeue-Light"/>
          <w:color w:val="000000"/>
          <w:sz w:val="22"/>
          <w:szCs w:val="22"/>
        </w:rPr>
      </w:pPr>
    </w:p>
    <w:p w:rsidR="004C3182" w:rsidRDefault="004C3182" w:rsidP="00AF30F5">
      <w:pPr>
        <w:autoSpaceDE w:val="0"/>
        <w:autoSpaceDN w:val="0"/>
        <w:adjustRightInd w:val="0"/>
        <w:rPr>
          <w:rFonts w:ascii="HelveticaNeue-Light" w:hAnsi="HelveticaNeue-Light" w:cs="HelveticaNeue-Light"/>
          <w:color w:val="000000"/>
          <w:sz w:val="22"/>
          <w:szCs w:val="22"/>
        </w:rPr>
      </w:pPr>
    </w:p>
    <w:p w:rsidR="004C3182" w:rsidRDefault="004C3182" w:rsidP="00AF30F5">
      <w:pPr>
        <w:autoSpaceDE w:val="0"/>
        <w:autoSpaceDN w:val="0"/>
        <w:adjustRightInd w:val="0"/>
        <w:rPr>
          <w:rFonts w:ascii="HelveticaNeue-Light" w:hAnsi="HelveticaNeue-Light" w:cs="HelveticaNeue-Light"/>
          <w:color w:val="000000"/>
          <w:sz w:val="22"/>
          <w:szCs w:val="22"/>
        </w:rPr>
      </w:pPr>
    </w:p>
    <w:p w:rsidR="004C3182" w:rsidRDefault="004C3182" w:rsidP="00AF30F5">
      <w:pPr>
        <w:autoSpaceDE w:val="0"/>
        <w:autoSpaceDN w:val="0"/>
        <w:adjustRightInd w:val="0"/>
        <w:rPr>
          <w:rFonts w:ascii="HelveticaNeue-Light" w:hAnsi="HelveticaNeue-Light" w:cs="HelveticaNeue-Light"/>
          <w:color w:val="000000"/>
          <w:sz w:val="22"/>
          <w:szCs w:val="22"/>
        </w:rPr>
      </w:pPr>
    </w:p>
    <w:p w:rsidR="004C3182" w:rsidRDefault="004C3182" w:rsidP="00AF30F5">
      <w:pPr>
        <w:autoSpaceDE w:val="0"/>
        <w:autoSpaceDN w:val="0"/>
        <w:adjustRightInd w:val="0"/>
        <w:rPr>
          <w:rFonts w:ascii="HelveticaNeue-Light" w:hAnsi="HelveticaNeue-Light" w:cs="HelveticaNeue-Light"/>
          <w:color w:val="000000"/>
          <w:sz w:val="22"/>
          <w:szCs w:val="22"/>
        </w:rPr>
      </w:pP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The most commonly used chemistries for real-time PCR are the DNA-binding dye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SYBR Green I and TaqMan hydrolysis probe. We provide an overview of SYBR Green I</w:t>
      </w:r>
    </w:p>
    <w:p w:rsidR="00AF30F5"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 xml:space="preserve">fluorescence chemistry below. </w:t>
      </w:r>
    </w:p>
    <w:p w:rsidR="00761A51" w:rsidRDefault="00761A51" w:rsidP="00AF30F5">
      <w:pPr>
        <w:autoSpaceDE w:val="0"/>
        <w:autoSpaceDN w:val="0"/>
        <w:adjustRightInd w:val="0"/>
        <w:rPr>
          <w:rFonts w:ascii="HelveticaNeue-Light" w:hAnsi="HelveticaNeue-Light" w:cs="HelveticaNeue-Light"/>
          <w:color w:val="000000"/>
          <w:sz w:val="22"/>
          <w:szCs w:val="22"/>
        </w:rPr>
      </w:pPr>
    </w:p>
    <w:p w:rsidR="00761A51" w:rsidRDefault="00761A51" w:rsidP="00AF30F5">
      <w:pPr>
        <w:autoSpaceDE w:val="0"/>
        <w:autoSpaceDN w:val="0"/>
        <w:adjustRightInd w:val="0"/>
        <w:rPr>
          <w:rFonts w:ascii="HelveticaNeue-Light" w:hAnsi="HelveticaNeue-Light" w:cs="HelveticaNeue-Light"/>
          <w:color w:val="000000"/>
          <w:sz w:val="22"/>
          <w:szCs w:val="22"/>
        </w:rPr>
      </w:pPr>
    </w:p>
    <w:p w:rsidR="00761A51" w:rsidRDefault="00761A51" w:rsidP="00AF30F5">
      <w:pPr>
        <w:autoSpaceDE w:val="0"/>
        <w:autoSpaceDN w:val="0"/>
        <w:adjustRightInd w:val="0"/>
        <w:rPr>
          <w:rFonts w:ascii="HelveticaNeue-Light" w:hAnsi="HelveticaNeue-Light" w:cs="HelveticaNeue-Light"/>
          <w:color w:val="000000"/>
          <w:sz w:val="22"/>
          <w:szCs w:val="22"/>
        </w:rPr>
      </w:pPr>
    </w:p>
    <w:p w:rsidR="00874E94" w:rsidRDefault="00F8500F" w:rsidP="00AF30F5">
      <w:pPr>
        <w:autoSpaceDE w:val="0"/>
        <w:autoSpaceDN w:val="0"/>
        <w:adjustRightInd w:val="0"/>
        <w:rPr>
          <w:rFonts w:ascii="HelveticaNeue-Light" w:hAnsi="HelveticaNeue-Light" w:cs="HelveticaNeue-Light"/>
          <w:color w:val="000000"/>
          <w:sz w:val="22"/>
          <w:szCs w:val="22"/>
        </w:rPr>
      </w:pPr>
      <w:r>
        <w:rPr>
          <w:rFonts w:cs="Helvetica"/>
          <w:noProof/>
        </w:rPr>
        <w:drawing>
          <wp:inline distT="0" distB="0" distL="0" distR="0">
            <wp:extent cx="4457700" cy="3225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225800"/>
                    </a:xfrm>
                    <a:prstGeom prst="rect">
                      <a:avLst/>
                    </a:prstGeom>
                    <a:noFill/>
                    <a:ln>
                      <a:noFill/>
                    </a:ln>
                  </pic:spPr>
                </pic:pic>
              </a:graphicData>
            </a:graphic>
          </wp:inline>
        </w:drawing>
      </w:r>
    </w:p>
    <w:p w:rsidR="00874E94" w:rsidRDefault="00874E94" w:rsidP="00AF30F5">
      <w:pPr>
        <w:autoSpaceDE w:val="0"/>
        <w:autoSpaceDN w:val="0"/>
        <w:adjustRightInd w:val="0"/>
        <w:rPr>
          <w:rFonts w:ascii="HelveticaNeue-Light" w:hAnsi="HelveticaNeue-Light" w:cs="HelveticaNeue-Light"/>
          <w:color w:val="000000"/>
          <w:sz w:val="22"/>
          <w:szCs w:val="22"/>
        </w:rPr>
      </w:pPr>
    </w:p>
    <w:p w:rsidR="00874E94" w:rsidRPr="00CD22DD" w:rsidRDefault="00874E94" w:rsidP="00AF30F5">
      <w:pPr>
        <w:autoSpaceDE w:val="0"/>
        <w:autoSpaceDN w:val="0"/>
        <w:adjustRightInd w:val="0"/>
        <w:rPr>
          <w:rFonts w:ascii="HelveticaNeue-Light" w:hAnsi="HelveticaNeue-Light" w:cs="HelveticaNeue-Light"/>
          <w:color w:val="000000"/>
          <w:sz w:val="22"/>
          <w:szCs w:val="22"/>
        </w:rPr>
      </w:pP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SYBR Green I is a DNA dye that binds non-discriminately to double-stranded DNA</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(dsDNA). SYBR Green I exhibits minimal fluorescence when it is free in solution, but its</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fluorescence increases dramatically (up to 1000-fold) upon binding to dsDNA (Figure 3).</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As the PCR reaction progresses the amplified product accumulates exponentially, more</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SYBR Green I binds, and fluorescence increases. The advantage of using SYBR Green I</w:t>
      </w:r>
      <w:r w:rsidR="00874E94">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is its simplicity. This is similar to the action of ethidium bromide, but unlike ethidium</w:t>
      </w:r>
    </w:p>
    <w:p w:rsidR="00AF30F5" w:rsidRPr="00CD22DD" w:rsidRDefault="00AF30F5" w:rsidP="00AF30F5">
      <w:pPr>
        <w:autoSpaceDE w:val="0"/>
        <w:autoSpaceDN w:val="0"/>
        <w:adjustRightInd w:val="0"/>
        <w:rPr>
          <w:rFonts w:ascii="HelveticaNeue-Light" w:hAnsi="HelveticaNeue-Light" w:cs="HelveticaNeue-Light"/>
          <w:color w:val="000000"/>
          <w:sz w:val="22"/>
          <w:szCs w:val="22"/>
        </w:rPr>
      </w:pPr>
      <w:r w:rsidRPr="00CD22DD">
        <w:rPr>
          <w:rFonts w:ascii="HelveticaNeue-Light" w:hAnsi="HelveticaNeue-Light" w:cs="HelveticaNeue-Light"/>
          <w:color w:val="000000"/>
          <w:sz w:val="22"/>
          <w:szCs w:val="22"/>
        </w:rPr>
        <w:t>bromide, SYBR Green I does not interfere with DNA polymerases, so it can be added</w:t>
      </w:r>
    </w:p>
    <w:p w:rsidR="00A8033F" w:rsidRDefault="00AF30F5" w:rsidP="00874E94">
      <w:pPr>
        <w:autoSpaceDE w:val="0"/>
        <w:autoSpaceDN w:val="0"/>
        <w:adjustRightInd w:val="0"/>
      </w:pPr>
      <w:r w:rsidRPr="00CD22DD">
        <w:rPr>
          <w:rFonts w:ascii="HelveticaNeue-Light" w:hAnsi="HelveticaNeue-Light" w:cs="HelveticaNeue-Light"/>
          <w:color w:val="000000"/>
          <w:sz w:val="22"/>
          <w:szCs w:val="22"/>
        </w:rPr>
        <w:t>directly to a PCR reaction mixture. SYBR Green I also has less background fluorescence</w:t>
      </w:r>
      <w:r w:rsidR="00874E94">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than does ethidium bromide, is able to detect lower concentrations of double-stranded</w:t>
      </w:r>
      <w:r w:rsidR="00874E94">
        <w:rPr>
          <w:rFonts w:ascii="HelveticaNeue-Light" w:hAnsi="HelveticaNeue-Light" w:cs="HelveticaNeue-Light"/>
          <w:color w:val="000000"/>
          <w:sz w:val="22"/>
          <w:szCs w:val="22"/>
        </w:rPr>
        <w:t xml:space="preserve"> </w:t>
      </w:r>
      <w:r w:rsidRPr="00CD22DD">
        <w:rPr>
          <w:rFonts w:ascii="HelveticaNeue-Light" w:hAnsi="HelveticaNeue-Light" w:cs="HelveticaNeue-Light"/>
          <w:color w:val="000000"/>
          <w:sz w:val="22"/>
          <w:szCs w:val="22"/>
        </w:rPr>
        <w:t>DNA, and is not hazardous.</w:t>
      </w:r>
    </w:p>
    <w:p w:rsidR="00A8033F" w:rsidRDefault="00A8033F" w:rsidP="00874E94">
      <w:pPr>
        <w:autoSpaceDE w:val="0"/>
        <w:autoSpaceDN w:val="0"/>
        <w:adjustRightInd w:val="0"/>
      </w:pPr>
    </w:p>
    <w:p w:rsidR="00A8033F" w:rsidRPr="00A8033F" w:rsidRDefault="00A8033F" w:rsidP="00A8033F">
      <w:pPr>
        <w:autoSpaceDE w:val="0"/>
        <w:autoSpaceDN w:val="0"/>
        <w:adjustRightInd w:val="0"/>
        <w:rPr>
          <w:rFonts w:ascii="HelveticaNeue-Heavy" w:hAnsi="HelveticaNeue-Heavy" w:cs="HelveticaNeue-Heavy"/>
          <w:b/>
          <w:sz w:val="22"/>
          <w:szCs w:val="22"/>
        </w:rPr>
      </w:pPr>
      <w:r w:rsidRPr="00A8033F">
        <w:rPr>
          <w:rFonts w:ascii="HelveticaNeue-Heavy" w:hAnsi="HelveticaNeue-Heavy" w:cs="HelveticaNeue-Heavy"/>
          <w:b/>
          <w:sz w:val="22"/>
          <w:szCs w:val="22"/>
        </w:rPr>
        <w:t>Optimizing a Real-Time Quantitative PCR Assay (qPCR)</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Since real-time quantitation is based on the relationship between initial template amount</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and the CT value obtained during amplification, an optimal qPCR assay is absolutely</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essential for accurate and reproducible quantitation of your particular sample. The</w:t>
      </w:r>
    </w:p>
    <w:p w:rsid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lastRenderedPageBreak/>
        <w:t>hallmarks of an optimized qPCR assay are:</w:t>
      </w:r>
    </w:p>
    <w:p w:rsidR="00A8033F" w:rsidRPr="00A8033F" w:rsidRDefault="00A8033F" w:rsidP="00A8033F">
      <w:pPr>
        <w:autoSpaceDE w:val="0"/>
        <w:autoSpaceDN w:val="0"/>
        <w:adjustRightInd w:val="0"/>
        <w:rPr>
          <w:rFonts w:ascii="HelveticaNeue-Light" w:hAnsi="HelveticaNeue-Light" w:cs="HelveticaNeue-Light"/>
          <w:sz w:val="22"/>
          <w:szCs w:val="22"/>
        </w:rPr>
      </w:pP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 xml:space="preserve">• Linear standard curve </w:t>
      </w:r>
    </w:p>
    <w:p w:rsid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 Consistency across replicate reactions</w:t>
      </w:r>
    </w:p>
    <w:p w:rsidR="00A8033F" w:rsidRDefault="00A8033F" w:rsidP="00A8033F">
      <w:pPr>
        <w:autoSpaceDE w:val="0"/>
        <w:autoSpaceDN w:val="0"/>
        <w:adjustRightInd w:val="0"/>
        <w:rPr>
          <w:rFonts w:ascii="HelveticaNeue-Light" w:hAnsi="HelveticaNeue-Light" w:cs="HelveticaNeue-Light"/>
          <w:sz w:val="22"/>
          <w:szCs w:val="22"/>
        </w:rPr>
      </w:pPr>
    </w:p>
    <w:p w:rsidR="00A8033F" w:rsidRPr="00A8033F" w:rsidRDefault="00A8033F" w:rsidP="00A8033F">
      <w:pPr>
        <w:autoSpaceDE w:val="0"/>
        <w:autoSpaceDN w:val="0"/>
        <w:adjustRightInd w:val="0"/>
        <w:rPr>
          <w:rFonts w:ascii="HelveticaNeue-Light" w:hAnsi="HelveticaNeue-Light" w:cs="HelveticaNeue-Light"/>
          <w:sz w:val="22"/>
          <w:szCs w:val="22"/>
        </w:rPr>
      </w:pP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A powerful way to determine whether your qPCR assay is optimized is to run a set of</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serial dilutions of template DNA and use the results to generate a standard curve. The</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template used for this purpose can be a target with known concentration (for example,</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nanograms of genomic DNA or copies of plasmid DNA) or a sample of unknown quantity</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(for example, cDNA). A standard curve is constructed by plotting the log of the starting</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quantity of template (or the dilution factor, for unknown quantities) against the C</w:t>
      </w:r>
      <w:r w:rsidRPr="00AF3158">
        <w:rPr>
          <w:rFonts w:ascii="HelveticaNeue-Light" w:hAnsi="HelveticaNeue-Light" w:cs="HelveticaNeue-Light"/>
          <w:sz w:val="22"/>
          <w:szCs w:val="22"/>
          <w:vertAlign w:val="subscript"/>
        </w:rPr>
        <w:t>T</w:t>
      </w:r>
      <w:r w:rsidRPr="00A8033F">
        <w:rPr>
          <w:rFonts w:ascii="HelveticaNeue-Light" w:hAnsi="HelveticaNeue-Light" w:cs="HelveticaNeue-Light"/>
          <w:sz w:val="22"/>
          <w:szCs w:val="22"/>
        </w:rPr>
        <w:t xml:space="preserve"> value</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obtained during amplification of each dilution. The equation of the linear regression line,</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along with Pearson’s correlation coefficient (r) or the coefficient of determination (R2</w:t>
      </w:r>
      <w:r>
        <w:rPr>
          <w:rFonts w:ascii="HelveticaNeue-Light" w:hAnsi="HelveticaNeue-Light" w:cs="HelveticaNeue-Light"/>
          <w:sz w:val="22"/>
          <w:szCs w:val="22"/>
        </w:rPr>
        <w:t xml:space="preserve">), can </w:t>
      </w:r>
      <w:r w:rsidRPr="00A8033F">
        <w:rPr>
          <w:rFonts w:ascii="HelveticaNeue-Light" w:hAnsi="HelveticaNeue-Light" w:cs="HelveticaNeue-Light"/>
          <w:sz w:val="22"/>
          <w:szCs w:val="22"/>
        </w:rPr>
        <w:t>then be used to evaluate whether your qPCR assay is optimized.</w:t>
      </w:r>
      <w:r>
        <w:rPr>
          <w:rFonts w:ascii="HelveticaNeue-Light" w:hAnsi="HelveticaNeue-Light" w:cs="HelveticaNeue-Light"/>
          <w:sz w:val="22"/>
          <w:szCs w:val="22"/>
        </w:rPr>
        <w:t xml:space="preserve"> </w:t>
      </w:r>
      <w:r w:rsidRPr="00A8033F">
        <w:rPr>
          <w:rFonts w:ascii="HelveticaNeue-Light" w:hAnsi="HelveticaNeue-Light" w:cs="HelveticaNeue-Light"/>
          <w:sz w:val="22"/>
          <w:szCs w:val="22"/>
        </w:rPr>
        <w:t>Ideally, the dilution series will produce amplification curves that are evenly spaced, as</w:t>
      </w:r>
      <w:r>
        <w:rPr>
          <w:rFonts w:ascii="HelveticaNeue-Light" w:hAnsi="HelveticaNeue-Light" w:cs="HelveticaNeue-Light"/>
          <w:sz w:val="22"/>
          <w:szCs w:val="22"/>
        </w:rPr>
        <w:t xml:space="preserve"> </w:t>
      </w:r>
      <w:r w:rsidRPr="00A8033F">
        <w:rPr>
          <w:rFonts w:ascii="HelveticaNeue-Light" w:hAnsi="HelveticaNeue-Light" w:cs="HelveticaNeue-Light"/>
          <w:sz w:val="22"/>
          <w:szCs w:val="22"/>
        </w:rPr>
        <w:t>shown in Figure 2A. If perfect doubling occurs with each amplification cycle, the spacing</w:t>
      </w:r>
      <w:r w:rsidR="00AF3158">
        <w:rPr>
          <w:rFonts w:ascii="HelveticaNeue-Light" w:hAnsi="HelveticaNeue-Light" w:cs="HelveticaNeue-Light"/>
          <w:sz w:val="22"/>
          <w:szCs w:val="22"/>
        </w:rPr>
        <w:t xml:space="preserve"> </w:t>
      </w:r>
      <w:r w:rsidRPr="00A8033F">
        <w:rPr>
          <w:rFonts w:ascii="HelveticaNeue-Light" w:hAnsi="HelveticaNeue-Light" w:cs="HelveticaNeue-Light"/>
          <w:sz w:val="22"/>
          <w:szCs w:val="22"/>
        </w:rPr>
        <w:t>of the fluorescence curves will be determined by the equation 2</w:t>
      </w:r>
      <w:r w:rsidRPr="00AF3158">
        <w:rPr>
          <w:rFonts w:ascii="HelveticaNeue-Light" w:hAnsi="HelveticaNeue-Light" w:cs="HelveticaNeue-Light"/>
          <w:sz w:val="22"/>
          <w:szCs w:val="22"/>
          <w:vertAlign w:val="superscript"/>
        </w:rPr>
        <w:t>n</w:t>
      </w:r>
      <w:r w:rsidRPr="00A8033F">
        <w:rPr>
          <w:rFonts w:ascii="HelveticaNeue-Light" w:hAnsi="HelveticaNeue-Light" w:cs="HelveticaNeue-Light"/>
          <w:sz w:val="22"/>
          <w:szCs w:val="22"/>
        </w:rPr>
        <w:t xml:space="preserve"> = dilution factor, where</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n is the number of cycles between curves at the fluorescence threshold (in other words,</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the difference between the CT values of the curves). For example, with a 10-fold serial</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dilution of DNA, 2</w:t>
      </w:r>
      <w:r w:rsidRPr="00AF3158">
        <w:rPr>
          <w:rFonts w:ascii="HelveticaNeue-Light" w:hAnsi="HelveticaNeue-Light" w:cs="HelveticaNeue-Light"/>
          <w:sz w:val="22"/>
          <w:szCs w:val="22"/>
          <w:vertAlign w:val="superscript"/>
        </w:rPr>
        <w:t>n</w:t>
      </w:r>
      <w:r w:rsidRPr="00A8033F">
        <w:rPr>
          <w:rFonts w:ascii="HelveticaNeue-Light" w:hAnsi="HelveticaNeue-Light" w:cs="HelveticaNeue-Light"/>
          <w:sz w:val="22"/>
          <w:szCs w:val="22"/>
        </w:rPr>
        <w:t xml:space="preserve"> = 10. Therefore, n = 3.32, and the CT values should be separated</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by 3.32 cycles. Evenly spaced amplification curves will produce linear standard curves,</w:t>
      </w:r>
    </w:p>
    <w:p w:rsidR="00A8033F" w:rsidRPr="00A8033F"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as shown in Figure 2B. The equation and r values of the linear regression lines are</w:t>
      </w:r>
    </w:p>
    <w:p w:rsidR="004C3182" w:rsidRDefault="00A8033F" w:rsidP="00A8033F">
      <w:pPr>
        <w:autoSpaceDE w:val="0"/>
        <w:autoSpaceDN w:val="0"/>
        <w:adjustRightInd w:val="0"/>
        <w:rPr>
          <w:rFonts w:ascii="HelveticaNeue-Light" w:hAnsi="HelveticaNeue-Light" w:cs="HelveticaNeue-Light"/>
          <w:sz w:val="22"/>
          <w:szCs w:val="22"/>
        </w:rPr>
      </w:pPr>
      <w:r w:rsidRPr="00A8033F">
        <w:rPr>
          <w:rFonts w:ascii="HelveticaNeue-Light" w:hAnsi="HelveticaNeue-Light" w:cs="HelveticaNeue-Light"/>
          <w:sz w:val="22"/>
          <w:szCs w:val="22"/>
        </w:rPr>
        <w:t>shown above the plot.</w:t>
      </w:r>
      <w:r w:rsidR="004C3182">
        <w:rPr>
          <w:rFonts w:ascii="HelveticaNeue-Light" w:hAnsi="HelveticaNeue-Light" w:cs="HelveticaNeue-Light"/>
          <w:sz w:val="22"/>
          <w:szCs w:val="22"/>
        </w:rPr>
        <w:t xml:space="preserve">  </w:t>
      </w:r>
    </w:p>
    <w:p w:rsidR="00A8033F" w:rsidRDefault="004C3182" w:rsidP="00A8033F">
      <w:pPr>
        <w:autoSpaceDE w:val="0"/>
        <w:autoSpaceDN w:val="0"/>
        <w:adjustRightInd w:val="0"/>
        <w:rPr>
          <w:rFonts w:ascii="HelveticaNeue-Light" w:hAnsi="HelveticaNeue-Light" w:cs="HelveticaNeue-Light"/>
          <w:sz w:val="22"/>
          <w:szCs w:val="22"/>
        </w:rPr>
      </w:pPr>
      <w:r>
        <w:rPr>
          <w:rFonts w:ascii="HelveticaNeue-Light" w:hAnsi="HelveticaNeue-Light" w:cs="HelveticaNeue-Light"/>
          <w:sz w:val="22"/>
          <w:szCs w:val="22"/>
        </w:rPr>
        <w:t>Figure 2A.</w:t>
      </w:r>
    </w:p>
    <w:p w:rsidR="004C3182" w:rsidRDefault="004C3182" w:rsidP="00A8033F">
      <w:pPr>
        <w:autoSpaceDE w:val="0"/>
        <w:autoSpaceDN w:val="0"/>
        <w:adjustRightInd w:val="0"/>
        <w:rPr>
          <w:rFonts w:ascii="HelveticaNeue-Light" w:hAnsi="HelveticaNeue-Light" w:cs="HelveticaNeue-Light"/>
          <w:sz w:val="22"/>
          <w:szCs w:val="22"/>
        </w:rPr>
      </w:pPr>
    </w:p>
    <w:p w:rsidR="004C3182" w:rsidRDefault="00F8500F" w:rsidP="00A8033F">
      <w:pPr>
        <w:autoSpaceDE w:val="0"/>
        <w:autoSpaceDN w:val="0"/>
        <w:adjustRightInd w:val="0"/>
        <w:rPr>
          <w:rFonts w:ascii="HelveticaNeue-Light" w:hAnsi="HelveticaNeue-Light" w:cs="HelveticaNeue-Light"/>
          <w:sz w:val="22"/>
          <w:szCs w:val="22"/>
        </w:rPr>
      </w:pPr>
      <w:r>
        <w:rPr>
          <w:rFonts w:cs="Helvetica"/>
          <w:noProof/>
        </w:rPr>
        <w:drawing>
          <wp:inline distT="0" distB="0" distL="0" distR="0">
            <wp:extent cx="5092700" cy="3124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3124200"/>
                    </a:xfrm>
                    <a:prstGeom prst="rect">
                      <a:avLst/>
                    </a:prstGeom>
                    <a:noFill/>
                    <a:ln>
                      <a:noFill/>
                    </a:ln>
                  </pic:spPr>
                </pic:pic>
              </a:graphicData>
            </a:graphic>
          </wp:inline>
        </w:drawing>
      </w:r>
    </w:p>
    <w:p w:rsidR="00AF3158" w:rsidRDefault="00AF3158" w:rsidP="00A8033F">
      <w:pPr>
        <w:autoSpaceDE w:val="0"/>
        <w:autoSpaceDN w:val="0"/>
        <w:adjustRightInd w:val="0"/>
        <w:rPr>
          <w:rFonts w:ascii="HelveticaNeue-Light" w:hAnsi="HelveticaNeue-Light" w:cs="HelveticaNeue-Light"/>
          <w:sz w:val="22"/>
          <w:szCs w:val="22"/>
        </w:rPr>
      </w:pPr>
    </w:p>
    <w:p w:rsidR="00922CEE" w:rsidRPr="00A8033F" w:rsidRDefault="00922CEE" w:rsidP="00922CEE">
      <w:pPr>
        <w:autoSpaceDE w:val="0"/>
        <w:autoSpaceDN w:val="0"/>
        <w:adjustRightInd w:val="0"/>
        <w:rPr>
          <w:rFonts w:ascii="HelveticaNeue-Light" w:hAnsi="HelveticaNeue-Light" w:cs="HelveticaNeue-Light"/>
          <w:sz w:val="22"/>
          <w:szCs w:val="22"/>
        </w:rPr>
      </w:pPr>
      <w:r w:rsidRPr="00A8033F">
        <w:rPr>
          <w:rFonts w:ascii="HelveticaNeue-Bold" w:hAnsi="HelveticaNeue-Bold" w:cs="HelveticaNeue-Bold"/>
          <w:b/>
          <w:bCs/>
          <w:sz w:val="22"/>
          <w:szCs w:val="22"/>
        </w:rPr>
        <w:t xml:space="preserve">Figure 2. Generating a standard curve to assess reaction optimization. </w:t>
      </w:r>
      <w:r w:rsidRPr="00A8033F">
        <w:rPr>
          <w:rFonts w:ascii="HelveticaNeue-Light" w:hAnsi="HelveticaNeue-Light" w:cs="HelveticaNeue-Light"/>
          <w:sz w:val="22"/>
          <w:szCs w:val="22"/>
        </w:rPr>
        <w:t>A sta</w:t>
      </w:r>
      <w:r>
        <w:rPr>
          <w:rFonts w:ascii="HelveticaNeue-Light" w:hAnsi="HelveticaNeue-Light" w:cs="HelveticaNeue-Light"/>
          <w:sz w:val="22"/>
          <w:szCs w:val="22"/>
        </w:rPr>
        <w:t xml:space="preserve">ndard curve was generated using  </w:t>
      </w:r>
      <w:r w:rsidRPr="00A8033F">
        <w:rPr>
          <w:rFonts w:ascii="HelveticaNeue-Light" w:hAnsi="HelveticaNeue-Light" w:cs="HelveticaNeue-Light"/>
          <w:sz w:val="22"/>
          <w:szCs w:val="22"/>
        </w:rPr>
        <w:t>a 10-fold dilution of a template amplified on the iCycler iQ® real-time system. Each dilution was assayed in triplicate.</w:t>
      </w:r>
    </w:p>
    <w:p w:rsidR="004C3182" w:rsidRPr="004C3182" w:rsidRDefault="00922CEE" w:rsidP="004C3182">
      <w:pPr>
        <w:numPr>
          <w:ilvl w:val="0"/>
          <w:numId w:val="6"/>
        </w:numPr>
        <w:autoSpaceDE w:val="0"/>
        <w:autoSpaceDN w:val="0"/>
        <w:adjustRightInd w:val="0"/>
        <w:rPr>
          <w:rFonts w:ascii="HelveticaNeue-Light" w:hAnsi="HelveticaNeue-Light" w:cs="HelveticaNeue-Light"/>
          <w:sz w:val="22"/>
          <w:szCs w:val="22"/>
        </w:rPr>
      </w:pPr>
      <w:r w:rsidRPr="004C3182">
        <w:rPr>
          <w:rFonts w:ascii="HelveticaNeue-Light" w:hAnsi="HelveticaNeue-Light" w:cs="HelveticaNeue-Light"/>
          <w:sz w:val="22"/>
          <w:szCs w:val="22"/>
        </w:rPr>
        <w:t xml:space="preserve">Amplification curves of the dilution series. </w:t>
      </w:r>
      <w:r w:rsidRPr="004C3182">
        <w:rPr>
          <w:rFonts w:ascii="HelveticaNeue-Bold" w:hAnsi="HelveticaNeue-Bold" w:cs="HelveticaNeue-Bold"/>
          <w:b/>
          <w:bCs/>
          <w:sz w:val="22"/>
          <w:szCs w:val="22"/>
        </w:rPr>
        <w:t xml:space="preserve">B. </w:t>
      </w:r>
      <w:r w:rsidRPr="004C3182">
        <w:rPr>
          <w:rFonts w:ascii="HelveticaNeue-Light" w:hAnsi="HelveticaNeue-Light" w:cs="HelveticaNeue-Light"/>
          <w:sz w:val="22"/>
          <w:szCs w:val="22"/>
        </w:rPr>
        <w:t>Standard curve with the C</w:t>
      </w:r>
      <w:r w:rsidRPr="004C3182">
        <w:rPr>
          <w:rFonts w:ascii="HelveticaNeue-Light" w:hAnsi="HelveticaNeue-Light" w:cs="HelveticaNeue-Light"/>
          <w:sz w:val="22"/>
          <w:szCs w:val="22"/>
          <w:vertAlign w:val="subscript"/>
        </w:rPr>
        <w:t>T</w:t>
      </w:r>
      <w:r w:rsidRPr="004C3182">
        <w:rPr>
          <w:rFonts w:ascii="HelveticaNeue-Light" w:hAnsi="HelveticaNeue-Light" w:cs="HelveticaNeue-Light"/>
          <w:sz w:val="22"/>
          <w:szCs w:val="22"/>
        </w:rPr>
        <w:t xml:space="preserve"> plotted against the log of the starting quantity of template for each dilution. </w:t>
      </w:r>
      <w:r w:rsidR="00F8500F">
        <w:rPr>
          <w:rFonts w:cs="Helvetica"/>
          <w:noProof/>
        </w:rPr>
        <w:drawing>
          <wp:inline distT="0" distB="0" distL="0" distR="0">
            <wp:extent cx="5524500" cy="2717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717800"/>
                    </a:xfrm>
                    <a:prstGeom prst="rect">
                      <a:avLst/>
                    </a:prstGeom>
                    <a:noFill/>
                    <a:ln>
                      <a:noFill/>
                    </a:ln>
                  </pic:spPr>
                </pic:pic>
              </a:graphicData>
            </a:graphic>
          </wp:inline>
        </w:drawing>
      </w:r>
    </w:p>
    <w:p w:rsidR="00AF3158" w:rsidRDefault="00AF3158" w:rsidP="00A8033F">
      <w:pPr>
        <w:autoSpaceDE w:val="0"/>
        <w:autoSpaceDN w:val="0"/>
        <w:adjustRightInd w:val="0"/>
        <w:rPr>
          <w:rFonts w:ascii="HelveticaNeue-Light" w:hAnsi="HelveticaNeue-Light" w:cs="HelveticaNeue-Light"/>
          <w:sz w:val="22"/>
          <w:szCs w:val="22"/>
        </w:rPr>
      </w:pPr>
    </w:p>
    <w:p w:rsidR="00AF3158" w:rsidRDefault="00AF3158" w:rsidP="00A8033F">
      <w:pPr>
        <w:autoSpaceDE w:val="0"/>
        <w:autoSpaceDN w:val="0"/>
        <w:adjustRightInd w:val="0"/>
        <w:rPr>
          <w:rFonts w:ascii="HelveticaNeue-Light" w:hAnsi="HelveticaNeue-Light" w:cs="HelveticaNeue-Light"/>
          <w:sz w:val="22"/>
          <w:szCs w:val="22"/>
        </w:rPr>
      </w:pPr>
      <w:r>
        <w:rPr>
          <w:rFonts w:ascii="HelveticaNeue-Light" w:hAnsi="HelveticaNeue-Light" w:cs="HelveticaNeue-Light"/>
          <w:sz w:val="22"/>
          <w:szCs w:val="22"/>
        </w:rPr>
        <w:br w:type="page"/>
      </w:r>
      <w:r>
        <w:rPr>
          <w:rFonts w:ascii="HelveticaNeue-Light" w:hAnsi="HelveticaNeue-Light" w:cs="HelveticaNeue-Light"/>
          <w:sz w:val="22"/>
          <w:szCs w:val="22"/>
        </w:rPr>
        <w:lastRenderedPageBreak/>
        <w:t xml:space="preserve"> </w:t>
      </w:r>
    </w:p>
    <w:p w:rsidR="00A8033F" w:rsidRPr="00F8500F" w:rsidRDefault="00124CC8" w:rsidP="00F8500F">
      <w:pPr>
        <w:rPr>
          <w:rFonts w:ascii="Century Gothic" w:hAnsi="Century Gothic" w:cs="HelveticaNeue-Light"/>
          <w:b/>
          <w:u w:val="single"/>
        </w:rPr>
      </w:pPr>
      <w:r w:rsidRPr="00124CC8">
        <w:rPr>
          <w:rFonts w:ascii="Century Gothic" w:hAnsi="Century Gothic" w:cs="HelveticaNeue-Light"/>
          <w:b/>
          <w:u w:val="single"/>
        </w:rPr>
        <w:t>Procedure</w:t>
      </w:r>
    </w:p>
    <w:p w:rsidR="00922CEE" w:rsidRPr="00124CC8" w:rsidRDefault="00922CEE" w:rsidP="00922CEE">
      <w:pPr>
        <w:autoSpaceDE w:val="0"/>
        <w:autoSpaceDN w:val="0"/>
        <w:adjustRightInd w:val="0"/>
        <w:rPr>
          <w:rFonts w:ascii="Century Gothic" w:hAnsi="Century Gothic" w:cs="HelveticaNeue-Light"/>
        </w:rPr>
      </w:pPr>
    </w:p>
    <w:p w:rsidR="009A3420" w:rsidRPr="00124CC8" w:rsidRDefault="00922CEE" w:rsidP="00922CEE">
      <w:pPr>
        <w:rPr>
          <w:rFonts w:ascii="Century Gothic" w:hAnsi="Century Gothic" w:cs="HelveticaNeue-Light"/>
        </w:rPr>
      </w:pPr>
      <w:r w:rsidRPr="00124CC8">
        <w:rPr>
          <w:rFonts w:ascii="Century Gothic" w:hAnsi="Century Gothic" w:cs="HelveticaNeue-Light"/>
        </w:rPr>
        <w:t xml:space="preserve">In today’s lab we will use qPCR to amplify a portion of the </w:t>
      </w:r>
      <w:r w:rsidR="00D46492" w:rsidRPr="00124CC8">
        <w:rPr>
          <w:rFonts w:ascii="Century Gothic" w:hAnsi="Century Gothic" w:cs="HelveticaNeue-Light"/>
        </w:rPr>
        <w:t xml:space="preserve">GFP gene.  As you are well aware, the </w:t>
      </w:r>
      <w:r w:rsidRPr="00124CC8">
        <w:rPr>
          <w:rFonts w:ascii="Century Gothic" w:hAnsi="Century Gothic" w:cs="HelveticaNeue-Light"/>
        </w:rPr>
        <w:t>target sequence from the gene has been cloned into</w:t>
      </w:r>
      <w:r w:rsidR="00D46492" w:rsidRPr="00124CC8">
        <w:rPr>
          <w:rFonts w:ascii="Century Gothic" w:hAnsi="Century Gothic" w:cs="HelveticaNeue-Light"/>
        </w:rPr>
        <w:t xml:space="preserve"> the pGLO</w:t>
      </w:r>
      <w:r w:rsidRPr="00124CC8">
        <w:rPr>
          <w:rFonts w:ascii="Century Gothic" w:hAnsi="Century Gothic" w:cs="HelveticaNeue-Light"/>
        </w:rPr>
        <w:t xml:space="preserve"> plasmid.  We will prepare dilutions of the target sequence to test the optimization of th</w:t>
      </w:r>
      <w:r w:rsidR="00D46492" w:rsidRPr="00124CC8">
        <w:rPr>
          <w:rFonts w:ascii="Century Gothic" w:hAnsi="Century Gothic" w:cs="HelveticaNeue-Light"/>
        </w:rPr>
        <w:t>e qPCR, and we will choose 1 or 2 of the primer pairs that worked well in our endpoint PCR experiment 2 weeks ago.</w:t>
      </w:r>
    </w:p>
    <w:p w:rsidR="00124CC8" w:rsidRPr="00124CC8" w:rsidRDefault="00124CC8" w:rsidP="00124CC8">
      <w:pPr>
        <w:rPr>
          <w:rFonts w:ascii="Century Gothic" w:hAnsi="Century Gothic" w:cs="HelveticaNeue-Light"/>
        </w:rPr>
      </w:pPr>
    </w:p>
    <w:p w:rsidR="00124CC8" w:rsidRPr="00124CC8" w:rsidRDefault="00124CC8" w:rsidP="00124CC8">
      <w:pPr>
        <w:rPr>
          <w:rFonts w:ascii="Century Gothic" w:hAnsi="Century Gothic" w:cs="HelveticaNeue-Light"/>
        </w:rPr>
      </w:pPr>
      <w:r w:rsidRPr="00124CC8">
        <w:rPr>
          <w:rFonts w:ascii="Century Gothic" w:hAnsi="Century Gothic" w:cs="HelveticaNeue-Light"/>
        </w:rPr>
        <w:t xml:space="preserve">Today’s experiment will utilize serial dilutions of the same template to illustrate the quantitative application of real-time (qPCR).  In the background reading you were asked to “imagine” what actually occurs during PCR, especially in the first rounds of cycling.  </w:t>
      </w:r>
    </w:p>
    <w:p w:rsidR="00124CC8" w:rsidRPr="00124CC8" w:rsidRDefault="00124CC8" w:rsidP="00124CC8">
      <w:pPr>
        <w:rPr>
          <w:rFonts w:ascii="Century Gothic" w:hAnsi="Century Gothic" w:cs="HelveticaNeue-Light"/>
        </w:rPr>
      </w:pPr>
      <w:r w:rsidRPr="00124CC8">
        <w:rPr>
          <w:rFonts w:ascii="Century Gothic" w:hAnsi="Century Gothic" w:cs="HelveticaNeue-Light"/>
        </w:rPr>
        <w:t>Each sample will begin amplifying the available template exponentially.  The more starting template, the quicker the amplified product accumulates. qPCR gives us the ability to monitor this accumulation as it occurs, not just look at the final accumulated product as with conventional PCR.  Accumulation is noted as a change in fluorescence.  Samples with more template reach the threshold for fluorescence detection sooner (at an earlier cycle) than samples with less template.  We call this threshold cycle the C</w:t>
      </w:r>
      <w:r w:rsidRPr="00124CC8">
        <w:rPr>
          <w:rFonts w:ascii="Century Gothic" w:hAnsi="Century Gothic" w:cs="HelveticaNeue-Light"/>
          <w:vertAlign w:val="subscript"/>
        </w:rPr>
        <w:t>T</w:t>
      </w:r>
      <w:r w:rsidRPr="00124CC8">
        <w:rPr>
          <w:rFonts w:ascii="Century Gothic" w:hAnsi="Century Gothic" w:cs="HelveticaNeue-Light"/>
        </w:rPr>
        <w:t xml:space="preserve"> value for the experiment.  </w:t>
      </w:r>
    </w:p>
    <w:p w:rsidR="004C3182" w:rsidRPr="00124CC8" w:rsidRDefault="004C3182" w:rsidP="00922CEE">
      <w:pPr>
        <w:rPr>
          <w:rFonts w:ascii="Century Gothic" w:hAnsi="Century Gothic" w:cs="HelveticaNeue-Light"/>
        </w:rPr>
      </w:pPr>
    </w:p>
    <w:p w:rsidR="00124CC8" w:rsidRPr="00124CC8" w:rsidRDefault="00124CC8" w:rsidP="00124CC8">
      <w:pPr>
        <w:rPr>
          <w:rFonts w:ascii="Century Gothic" w:hAnsi="Century Gothic" w:cs="HelveticaNeue-Light"/>
          <w:b/>
        </w:rPr>
      </w:pPr>
      <w:r w:rsidRPr="00124CC8">
        <w:rPr>
          <w:rFonts w:ascii="Century Gothic" w:hAnsi="Century Gothic" w:cs="HelveticaNeue-Light"/>
          <w:b/>
        </w:rPr>
        <w:t>Objectives:</w:t>
      </w:r>
    </w:p>
    <w:p w:rsidR="00124CC8" w:rsidRPr="00124CC8" w:rsidRDefault="00124CC8" w:rsidP="00124CC8">
      <w:pPr>
        <w:rPr>
          <w:rFonts w:ascii="Century Gothic" w:hAnsi="Century Gothic" w:cs="HelveticaNeue-Light"/>
        </w:rPr>
      </w:pPr>
    </w:p>
    <w:p w:rsidR="00124CC8" w:rsidRPr="00124CC8" w:rsidRDefault="00124CC8" w:rsidP="00124CC8">
      <w:pPr>
        <w:rPr>
          <w:rFonts w:ascii="Century Gothic" w:hAnsi="Century Gothic" w:cs="HelveticaNeue-Light"/>
        </w:rPr>
      </w:pPr>
      <w:r w:rsidRPr="00124CC8">
        <w:rPr>
          <w:rFonts w:ascii="Century Gothic" w:hAnsi="Century Gothic" w:cs="HelveticaNeue-Light"/>
        </w:rPr>
        <w:t>1.  Understand the theory of qPCR</w:t>
      </w:r>
    </w:p>
    <w:p w:rsidR="00124CC8" w:rsidRPr="00124CC8" w:rsidRDefault="00124CC8" w:rsidP="00124CC8">
      <w:pPr>
        <w:rPr>
          <w:rFonts w:ascii="Century Gothic" w:hAnsi="Century Gothic" w:cs="HelveticaNeue-Light"/>
        </w:rPr>
      </w:pPr>
      <w:r w:rsidRPr="00124CC8">
        <w:rPr>
          <w:rFonts w:ascii="Century Gothic" w:hAnsi="Century Gothic" w:cs="HelveticaNeue-Light"/>
        </w:rPr>
        <w:t>2.  Understand the use of standards in optimizing qPCR</w:t>
      </w:r>
    </w:p>
    <w:p w:rsidR="00124CC8" w:rsidRPr="00124CC8" w:rsidRDefault="00124CC8" w:rsidP="00124CC8">
      <w:pPr>
        <w:rPr>
          <w:rFonts w:ascii="Century Gothic" w:hAnsi="Century Gothic" w:cs="HelveticaNeue-Light"/>
        </w:rPr>
      </w:pPr>
      <w:r w:rsidRPr="00124CC8">
        <w:rPr>
          <w:rFonts w:ascii="Century Gothic" w:hAnsi="Century Gothic" w:cs="HelveticaNeue-Light"/>
        </w:rPr>
        <w:t>3.  Prepare serial dilutions</w:t>
      </w:r>
    </w:p>
    <w:p w:rsidR="00124CC8" w:rsidRPr="00124CC8" w:rsidRDefault="00124CC8" w:rsidP="00124CC8">
      <w:pPr>
        <w:rPr>
          <w:rFonts w:ascii="Century Gothic" w:hAnsi="Century Gothic" w:cs="HelveticaNeue-Light"/>
        </w:rPr>
      </w:pPr>
      <w:r w:rsidRPr="00124CC8">
        <w:rPr>
          <w:rFonts w:ascii="Century Gothic" w:hAnsi="Century Gothic" w:cs="HelveticaNeue-Light"/>
        </w:rPr>
        <w:t>4.  Interpret the qPCR results after a run.</w:t>
      </w:r>
    </w:p>
    <w:p w:rsidR="004C3182" w:rsidRPr="00124CC8" w:rsidRDefault="004C3182" w:rsidP="00922CEE">
      <w:pPr>
        <w:rPr>
          <w:rFonts w:ascii="Century Gothic" w:hAnsi="Century Gothic" w:cs="HelveticaNeue-Light"/>
        </w:rPr>
      </w:pPr>
    </w:p>
    <w:p w:rsidR="00556933" w:rsidRPr="00124CC8" w:rsidRDefault="00556933" w:rsidP="00922CEE">
      <w:pPr>
        <w:rPr>
          <w:rFonts w:ascii="Century Gothic" w:hAnsi="Century Gothic" w:cs="HelveticaNeue-Light"/>
          <w:b/>
        </w:rPr>
      </w:pPr>
    </w:p>
    <w:p w:rsidR="00556933" w:rsidRPr="00124CC8" w:rsidRDefault="00556933" w:rsidP="00922CEE">
      <w:pPr>
        <w:rPr>
          <w:rFonts w:ascii="Century Gothic" w:hAnsi="Century Gothic" w:cs="HelveticaNeue-Light"/>
          <w:b/>
          <w:u w:val="single"/>
        </w:rPr>
      </w:pPr>
      <w:r w:rsidRPr="00124CC8">
        <w:rPr>
          <w:rFonts w:ascii="Century Gothic" w:hAnsi="Century Gothic" w:cs="HelveticaNeue-Light"/>
          <w:b/>
          <w:u w:val="single"/>
        </w:rPr>
        <w:t>Materials</w:t>
      </w:r>
    </w:p>
    <w:p w:rsidR="00A312D6" w:rsidRPr="00124CC8" w:rsidRDefault="00A312D6" w:rsidP="00922CEE">
      <w:pPr>
        <w:rPr>
          <w:rFonts w:ascii="Century Gothic" w:hAnsi="Century Gothic" w:cs="HelveticaNeue-Light"/>
          <w:b/>
          <w:u w:val="single"/>
        </w:rPr>
      </w:pPr>
    </w:p>
    <w:p w:rsidR="00556933" w:rsidRPr="00124CC8" w:rsidRDefault="00556933" w:rsidP="00814AD5">
      <w:pPr>
        <w:numPr>
          <w:ilvl w:val="0"/>
          <w:numId w:val="9"/>
        </w:numPr>
        <w:rPr>
          <w:rFonts w:ascii="Century Gothic" w:hAnsi="Century Gothic" w:cs="HelveticaNeue-Light"/>
        </w:rPr>
      </w:pPr>
      <w:r w:rsidRPr="00124CC8">
        <w:rPr>
          <w:rFonts w:ascii="Century Gothic" w:hAnsi="Century Gothic" w:cs="HelveticaNeue-Light"/>
        </w:rPr>
        <w:t>pGLO plasmid</w:t>
      </w:r>
      <w:r w:rsidR="00124CC8" w:rsidRPr="00124CC8">
        <w:rPr>
          <w:rFonts w:ascii="Century Gothic" w:hAnsi="Century Gothic" w:cs="HelveticaNeue-Light"/>
        </w:rPr>
        <w:t xml:space="preserve"> (template)</w:t>
      </w:r>
    </w:p>
    <w:p w:rsidR="00556933" w:rsidRPr="00124CC8" w:rsidRDefault="00556933" w:rsidP="00814AD5">
      <w:pPr>
        <w:numPr>
          <w:ilvl w:val="0"/>
          <w:numId w:val="9"/>
        </w:numPr>
        <w:rPr>
          <w:rFonts w:ascii="Century Gothic" w:hAnsi="Century Gothic" w:cs="HelveticaNeue-Light"/>
        </w:rPr>
      </w:pPr>
      <w:r w:rsidRPr="00124CC8">
        <w:rPr>
          <w:rFonts w:ascii="Century Gothic" w:hAnsi="Century Gothic" w:cs="HelveticaNeue-Light"/>
        </w:rPr>
        <w:t>water</w:t>
      </w:r>
    </w:p>
    <w:p w:rsidR="00556933" w:rsidRPr="00124CC8" w:rsidRDefault="00A312D6" w:rsidP="00814AD5">
      <w:pPr>
        <w:numPr>
          <w:ilvl w:val="0"/>
          <w:numId w:val="9"/>
        </w:numPr>
        <w:rPr>
          <w:rFonts w:ascii="Century Gothic" w:hAnsi="Century Gothic" w:cs="HelveticaNeue-Light"/>
        </w:rPr>
      </w:pPr>
      <w:r w:rsidRPr="00124CC8">
        <w:rPr>
          <w:rFonts w:ascii="Century Gothic" w:hAnsi="Century Gothic" w:cs="HelveticaNeue-Light"/>
        </w:rPr>
        <w:t xml:space="preserve">2X </w:t>
      </w:r>
      <w:r w:rsidR="00556933" w:rsidRPr="00124CC8">
        <w:rPr>
          <w:rFonts w:ascii="Century Gothic" w:hAnsi="Century Gothic" w:cs="HelveticaNeue-Light"/>
        </w:rPr>
        <w:t>Sybr Green PCR Supermix (contains taq polymerase, dNTPs, Sybr green</w:t>
      </w:r>
      <w:r w:rsidRPr="00124CC8">
        <w:rPr>
          <w:rFonts w:ascii="Century Gothic" w:hAnsi="Century Gothic" w:cs="HelveticaNeue-Light"/>
        </w:rPr>
        <w:t>)</w:t>
      </w:r>
      <w:r w:rsidR="00556933" w:rsidRPr="00124CC8">
        <w:rPr>
          <w:rFonts w:ascii="Century Gothic" w:hAnsi="Century Gothic" w:cs="HelveticaNeue-Light"/>
        </w:rPr>
        <w:t>.</w:t>
      </w:r>
    </w:p>
    <w:p w:rsidR="00A312D6" w:rsidRPr="00124CC8" w:rsidRDefault="00A312D6" w:rsidP="00814AD5">
      <w:pPr>
        <w:numPr>
          <w:ilvl w:val="0"/>
          <w:numId w:val="9"/>
        </w:numPr>
        <w:rPr>
          <w:rFonts w:ascii="Century Gothic" w:hAnsi="Century Gothic"/>
        </w:rPr>
      </w:pPr>
      <w:r w:rsidRPr="00124CC8">
        <w:rPr>
          <w:rFonts w:ascii="Century Gothic" w:hAnsi="Century Gothic" w:cs="HelveticaNeue-Light"/>
        </w:rPr>
        <w:t xml:space="preserve">Primer pair that worked well in end-point PCR. (10 </w:t>
      </w:r>
      <w:r w:rsidRPr="00814AD5">
        <w:rPr>
          <w:rFonts w:ascii="Symbol" w:hAnsi="Symbol" w:cs="HelveticaNeue-Light"/>
        </w:rPr>
        <w:t></w:t>
      </w:r>
      <w:r w:rsidRPr="00124CC8">
        <w:rPr>
          <w:rFonts w:ascii="Century Gothic" w:hAnsi="Century Gothic" w:cs="HelveticaNeue-Light"/>
        </w:rPr>
        <w:t>M stock)</w:t>
      </w:r>
      <w:r w:rsidRPr="00124CC8">
        <w:rPr>
          <w:rFonts w:ascii="Century Gothic" w:hAnsi="Century Gothic"/>
        </w:rPr>
        <w:t xml:space="preserve"> </w:t>
      </w:r>
    </w:p>
    <w:p w:rsidR="00A312D6" w:rsidRPr="00124CC8" w:rsidRDefault="00124CC8" w:rsidP="00814AD5">
      <w:pPr>
        <w:numPr>
          <w:ilvl w:val="0"/>
          <w:numId w:val="9"/>
        </w:numPr>
        <w:rPr>
          <w:rFonts w:ascii="Century Gothic" w:hAnsi="Century Gothic"/>
        </w:rPr>
      </w:pPr>
      <w:r w:rsidRPr="00124CC8">
        <w:rPr>
          <w:rFonts w:ascii="Century Gothic" w:hAnsi="Century Gothic"/>
        </w:rPr>
        <w:t>qPCR tube</w:t>
      </w:r>
      <w:r w:rsidR="00814AD5">
        <w:rPr>
          <w:rFonts w:ascii="Century Gothic" w:hAnsi="Century Gothic"/>
        </w:rPr>
        <w:t>s</w:t>
      </w:r>
      <w:r w:rsidRPr="00124CC8">
        <w:rPr>
          <w:rFonts w:ascii="Century Gothic" w:hAnsi="Century Gothic"/>
        </w:rPr>
        <w:t>/plate</w:t>
      </w:r>
    </w:p>
    <w:p w:rsidR="00124CC8" w:rsidRPr="00124CC8" w:rsidRDefault="00124CC8" w:rsidP="00124CC8">
      <w:pPr>
        <w:rPr>
          <w:rFonts w:ascii="Century Gothic" w:hAnsi="Century Gothic" w:cs="HelveticaNeue-Light"/>
          <w:b/>
          <w:u w:val="single"/>
        </w:rPr>
      </w:pPr>
    </w:p>
    <w:p w:rsidR="00124CC8" w:rsidRPr="00124CC8" w:rsidRDefault="00124CC8" w:rsidP="00124CC8">
      <w:pPr>
        <w:rPr>
          <w:rFonts w:ascii="Century Gothic" w:hAnsi="Century Gothic" w:cs="HelveticaNeue-Light"/>
          <w:b/>
          <w:u w:val="single"/>
        </w:rPr>
      </w:pPr>
      <w:r w:rsidRPr="00124CC8">
        <w:rPr>
          <w:rFonts w:ascii="Century Gothic" w:hAnsi="Century Gothic" w:cs="HelveticaNeue-Light"/>
          <w:b/>
          <w:u w:val="single"/>
        </w:rPr>
        <w:t>Protocol</w:t>
      </w:r>
      <w:r w:rsidR="007757C7">
        <w:rPr>
          <w:rFonts w:ascii="Century Gothic" w:hAnsi="Century Gothic" w:cs="HelveticaNeue-Light"/>
          <w:b/>
          <w:u w:val="single"/>
        </w:rPr>
        <w:t>—Break into 3 groups for todays lab</w:t>
      </w:r>
      <w:r w:rsidR="00814AD5">
        <w:rPr>
          <w:rFonts w:ascii="Century Gothic" w:hAnsi="Century Gothic" w:cs="HelveticaNeue-Light"/>
          <w:b/>
          <w:u w:val="single"/>
        </w:rPr>
        <w:t>—</w:t>
      </w:r>
      <w:r w:rsidR="00F8500F">
        <w:rPr>
          <w:rFonts w:ascii="Century Gothic" w:hAnsi="Century Gothic" w:cs="HelveticaNeue-Light"/>
          <w:b/>
          <w:u w:val="single"/>
        </w:rPr>
        <w:t>you must pipet carefully, mix carefully, plan ahead….</w:t>
      </w:r>
    </w:p>
    <w:p w:rsidR="00124CC8" w:rsidRPr="007757C7" w:rsidRDefault="00124CC8" w:rsidP="00124CC8">
      <w:pPr>
        <w:rPr>
          <w:rFonts w:ascii="Century Gothic" w:hAnsi="Century Gothic" w:cs="HelveticaNeue-Light"/>
          <w:b/>
        </w:rPr>
      </w:pPr>
    </w:p>
    <w:p w:rsidR="007757C7" w:rsidRPr="007757C7" w:rsidRDefault="007757C7" w:rsidP="00124CC8">
      <w:pPr>
        <w:rPr>
          <w:rFonts w:ascii="Century Gothic" w:hAnsi="Century Gothic" w:cs="HelveticaNeue-Light"/>
          <w:b/>
        </w:rPr>
      </w:pPr>
      <w:r w:rsidRPr="007757C7">
        <w:rPr>
          <w:rFonts w:ascii="Century Gothic" w:hAnsi="Century Gothic" w:cs="HelveticaNeue-Light"/>
          <w:b/>
        </w:rPr>
        <w:t>Make dilutions of template</w:t>
      </w:r>
    </w:p>
    <w:p w:rsidR="00124CC8" w:rsidRPr="00124CC8" w:rsidRDefault="00124CC8" w:rsidP="00124CC8">
      <w:pPr>
        <w:rPr>
          <w:rFonts w:ascii="Century Gothic" w:hAnsi="Century Gothic" w:cs="HelveticaNeue-Light"/>
        </w:rPr>
      </w:pPr>
      <w:r w:rsidRPr="00124CC8">
        <w:rPr>
          <w:rFonts w:ascii="Century Gothic" w:hAnsi="Century Gothic" w:cs="HelveticaNeue-Light"/>
        </w:rPr>
        <w:t xml:space="preserve">1.  Obtain a tube of the </w:t>
      </w:r>
      <w:r>
        <w:rPr>
          <w:rFonts w:ascii="Century Gothic" w:hAnsi="Century Gothic" w:cs="HelveticaNeue-Light"/>
        </w:rPr>
        <w:t>pGLO</w:t>
      </w:r>
      <w:r w:rsidRPr="00124CC8">
        <w:rPr>
          <w:rFonts w:ascii="Century Gothic" w:hAnsi="Century Gothic" w:cs="HelveticaNeue-Light"/>
        </w:rPr>
        <w:t xml:space="preserve"> DNA (</w:t>
      </w:r>
      <w:r>
        <w:rPr>
          <w:rFonts w:ascii="Century Gothic" w:hAnsi="Century Gothic" w:cs="HelveticaNeue-Light"/>
        </w:rPr>
        <w:t>note its concentration)</w:t>
      </w:r>
    </w:p>
    <w:p w:rsidR="00124CC8" w:rsidRPr="00124CC8" w:rsidRDefault="00124CC8" w:rsidP="00124CC8">
      <w:pPr>
        <w:rPr>
          <w:rFonts w:ascii="Century Gothic" w:hAnsi="Century Gothic" w:cs="HelveticaNeue-Light"/>
        </w:rPr>
      </w:pPr>
      <w:r w:rsidRPr="00124CC8">
        <w:rPr>
          <w:rFonts w:ascii="Century Gothic" w:hAnsi="Century Gothic" w:cs="HelveticaNeue-Light"/>
        </w:rPr>
        <w:t>2.  Label 7 microfuge tubes with the following information</w:t>
      </w:r>
    </w:p>
    <w:p w:rsidR="00124CC8" w:rsidRPr="00124CC8" w:rsidRDefault="00124CC8" w:rsidP="00124CC8">
      <w:pPr>
        <w:rPr>
          <w:rFonts w:ascii="Century Gothic" w:hAnsi="Century Gothic" w:cs="HelveticaNeue-Light"/>
        </w:rPr>
      </w:pPr>
    </w:p>
    <w:p w:rsidR="00124CC8" w:rsidRPr="00124CC8" w:rsidRDefault="00124CC8" w:rsidP="00124CC8">
      <w:pPr>
        <w:rPr>
          <w:rFonts w:ascii="Century Gothic" w:hAnsi="Century Gothic" w:cs="HelveticaNeue-Light"/>
        </w:rPr>
      </w:pPr>
      <w:r w:rsidRPr="00124CC8">
        <w:rPr>
          <w:rFonts w:ascii="Century Gothic" w:hAnsi="Century Gothic" w:cs="HelveticaNeue-Light"/>
        </w:rPr>
        <w:tab/>
        <w:t>1.  10</w:t>
      </w:r>
      <w:r w:rsidRPr="00124CC8">
        <w:rPr>
          <w:rFonts w:ascii="Century Gothic" w:hAnsi="Century Gothic" w:cs="HelveticaNeue-Light"/>
          <w:vertAlign w:val="superscript"/>
        </w:rPr>
        <w:t xml:space="preserve">0 </w:t>
      </w:r>
      <w:r w:rsidRPr="00124CC8">
        <w:rPr>
          <w:rFonts w:ascii="Century Gothic" w:hAnsi="Century Gothic" w:cs="HelveticaNeue-Light"/>
        </w:rPr>
        <w:t>(undiluted</w:t>
      </w:r>
      <w:r w:rsidR="00F8500F">
        <w:rPr>
          <w:rFonts w:ascii="Century Gothic" w:hAnsi="Century Gothic" w:cs="HelveticaNeue-Light"/>
        </w:rPr>
        <w:t>—pGLO plasmid</w:t>
      </w:r>
      <w:r w:rsidRPr="00124CC8">
        <w:rPr>
          <w:rFonts w:ascii="Century Gothic" w:hAnsi="Century Gothic" w:cs="HelveticaNeue-Light"/>
        </w:rPr>
        <w:t>)</w:t>
      </w:r>
    </w:p>
    <w:p w:rsidR="00124CC8" w:rsidRPr="00124CC8" w:rsidRDefault="00124CC8" w:rsidP="00124CC8">
      <w:pPr>
        <w:rPr>
          <w:rFonts w:ascii="Century Gothic" w:hAnsi="Century Gothic" w:cs="HelveticaNeue-Light"/>
        </w:rPr>
      </w:pPr>
      <w:r w:rsidRPr="00124CC8">
        <w:rPr>
          <w:rFonts w:ascii="Century Gothic" w:hAnsi="Century Gothic" w:cs="HelveticaNeue-Light"/>
        </w:rPr>
        <w:tab/>
        <w:t>2.  10</w:t>
      </w:r>
      <w:r w:rsidRPr="00124CC8">
        <w:rPr>
          <w:rFonts w:ascii="Century Gothic" w:hAnsi="Century Gothic" w:cs="HelveticaNeue-Light"/>
          <w:vertAlign w:val="superscript"/>
        </w:rPr>
        <w:t>-1</w:t>
      </w:r>
    </w:p>
    <w:p w:rsidR="00124CC8" w:rsidRPr="00124CC8" w:rsidRDefault="00124CC8" w:rsidP="00124CC8">
      <w:pPr>
        <w:rPr>
          <w:rFonts w:ascii="Century Gothic" w:hAnsi="Century Gothic" w:cs="HelveticaNeue-Light"/>
          <w:vertAlign w:val="superscript"/>
        </w:rPr>
      </w:pPr>
      <w:r w:rsidRPr="00124CC8">
        <w:rPr>
          <w:rFonts w:ascii="Century Gothic" w:hAnsi="Century Gothic" w:cs="HelveticaNeue-Light"/>
        </w:rPr>
        <w:tab/>
        <w:t>3.  10</w:t>
      </w:r>
      <w:r w:rsidRPr="00124CC8">
        <w:rPr>
          <w:rFonts w:ascii="Century Gothic" w:hAnsi="Century Gothic" w:cs="HelveticaNeue-Light"/>
          <w:vertAlign w:val="superscript"/>
        </w:rPr>
        <w:t>-2</w:t>
      </w:r>
    </w:p>
    <w:p w:rsidR="00124CC8" w:rsidRPr="00124CC8" w:rsidRDefault="00124CC8" w:rsidP="00124CC8">
      <w:pPr>
        <w:rPr>
          <w:rFonts w:ascii="Century Gothic" w:hAnsi="Century Gothic" w:cs="HelveticaNeue-Light"/>
          <w:vertAlign w:val="superscript"/>
        </w:rPr>
      </w:pPr>
      <w:r w:rsidRPr="00124CC8">
        <w:rPr>
          <w:rFonts w:ascii="Century Gothic" w:hAnsi="Century Gothic" w:cs="HelveticaNeue-Light"/>
          <w:vertAlign w:val="superscript"/>
        </w:rPr>
        <w:tab/>
      </w:r>
      <w:r w:rsidRPr="00124CC8">
        <w:rPr>
          <w:rFonts w:ascii="Century Gothic" w:hAnsi="Century Gothic" w:cs="HelveticaNeue-Light"/>
        </w:rPr>
        <w:t>4.  10</w:t>
      </w:r>
      <w:r w:rsidRPr="00124CC8">
        <w:rPr>
          <w:rFonts w:ascii="Century Gothic" w:hAnsi="Century Gothic" w:cs="HelveticaNeue-Light"/>
          <w:vertAlign w:val="superscript"/>
        </w:rPr>
        <w:t>-3</w:t>
      </w:r>
    </w:p>
    <w:p w:rsidR="00124CC8" w:rsidRPr="00124CC8" w:rsidRDefault="00124CC8" w:rsidP="00124CC8">
      <w:pPr>
        <w:rPr>
          <w:rFonts w:ascii="Century Gothic" w:hAnsi="Century Gothic" w:cs="HelveticaNeue-Light"/>
          <w:vertAlign w:val="superscript"/>
        </w:rPr>
      </w:pPr>
      <w:r w:rsidRPr="00124CC8">
        <w:rPr>
          <w:rFonts w:ascii="Century Gothic" w:hAnsi="Century Gothic" w:cs="HelveticaNeue-Light"/>
          <w:vertAlign w:val="superscript"/>
        </w:rPr>
        <w:tab/>
      </w:r>
      <w:r w:rsidRPr="00124CC8">
        <w:rPr>
          <w:rFonts w:ascii="Century Gothic" w:hAnsi="Century Gothic" w:cs="HelveticaNeue-Light"/>
        </w:rPr>
        <w:t>5.  10</w:t>
      </w:r>
      <w:r w:rsidRPr="00124CC8">
        <w:rPr>
          <w:rFonts w:ascii="Century Gothic" w:hAnsi="Century Gothic" w:cs="HelveticaNeue-Light"/>
          <w:vertAlign w:val="superscript"/>
        </w:rPr>
        <w:t>-4</w:t>
      </w:r>
    </w:p>
    <w:p w:rsidR="00124CC8" w:rsidRPr="00124CC8" w:rsidRDefault="00124CC8" w:rsidP="00124CC8">
      <w:pPr>
        <w:rPr>
          <w:rFonts w:ascii="Century Gothic" w:hAnsi="Century Gothic" w:cs="HelveticaNeue-Light"/>
          <w:vertAlign w:val="superscript"/>
        </w:rPr>
      </w:pPr>
      <w:r w:rsidRPr="00124CC8">
        <w:rPr>
          <w:rFonts w:ascii="Century Gothic" w:hAnsi="Century Gothic" w:cs="HelveticaNeue-Light"/>
          <w:vertAlign w:val="superscript"/>
        </w:rPr>
        <w:tab/>
      </w:r>
      <w:r w:rsidRPr="00124CC8">
        <w:rPr>
          <w:rFonts w:ascii="Century Gothic" w:hAnsi="Century Gothic" w:cs="HelveticaNeue-Light"/>
        </w:rPr>
        <w:t>6.  10</w:t>
      </w:r>
      <w:r w:rsidRPr="00124CC8">
        <w:rPr>
          <w:rFonts w:ascii="Century Gothic" w:hAnsi="Century Gothic" w:cs="HelveticaNeue-Light"/>
          <w:vertAlign w:val="superscript"/>
        </w:rPr>
        <w:t>-5</w:t>
      </w:r>
    </w:p>
    <w:p w:rsidR="00124CC8" w:rsidRPr="00124CC8" w:rsidRDefault="00124CC8" w:rsidP="00124CC8">
      <w:pPr>
        <w:rPr>
          <w:rFonts w:ascii="Century Gothic" w:hAnsi="Century Gothic" w:cs="HelveticaNeue-Light"/>
        </w:rPr>
      </w:pPr>
      <w:r w:rsidRPr="00124CC8">
        <w:rPr>
          <w:rFonts w:ascii="Century Gothic" w:hAnsi="Century Gothic" w:cs="HelveticaNeue-Light"/>
          <w:vertAlign w:val="superscript"/>
        </w:rPr>
        <w:tab/>
      </w:r>
      <w:r w:rsidRPr="00124CC8">
        <w:rPr>
          <w:rFonts w:ascii="Century Gothic" w:hAnsi="Century Gothic" w:cs="HelveticaNeue-Light"/>
        </w:rPr>
        <w:t>7.  NT (no template)</w:t>
      </w:r>
    </w:p>
    <w:p w:rsidR="00124CC8" w:rsidRPr="00124CC8" w:rsidRDefault="00124CC8" w:rsidP="00124CC8">
      <w:pPr>
        <w:rPr>
          <w:rFonts w:ascii="Century Gothic" w:hAnsi="Century Gothic" w:cs="HelveticaNeue-Light"/>
          <w:vertAlign w:val="superscript"/>
        </w:rPr>
      </w:pPr>
    </w:p>
    <w:p w:rsidR="00124CC8" w:rsidRPr="00124CC8" w:rsidRDefault="00124CC8" w:rsidP="00124CC8">
      <w:pPr>
        <w:rPr>
          <w:rFonts w:ascii="Century Gothic" w:hAnsi="Century Gothic" w:cs="HelveticaNeue-Light"/>
        </w:rPr>
      </w:pPr>
      <w:r w:rsidRPr="00124CC8">
        <w:rPr>
          <w:rFonts w:ascii="Century Gothic" w:hAnsi="Century Gothic" w:cs="HelveticaNeue-Light"/>
        </w:rPr>
        <w:t xml:space="preserve">3.  Pipette 45 </w:t>
      </w:r>
      <w:r w:rsidRPr="00124CC8">
        <w:rPr>
          <w:rFonts w:ascii="Century Gothic" w:hAnsi="Century Gothic" w:cs="HelveticaNeue-Light"/>
        </w:rPr>
        <w:t>l of fresh molecular grade water into each of the dilution tubes (2-</w:t>
      </w:r>
      <w:r>
        <w:rPr>
          <w:rFonts w:ascii="Century Gothic" w:hAnsi="Century Gothic" w:cs="HelveticaNeue-Light"/>
        </w:rPr>
        <w:t>7</w:t>
      </w:r>
      <w:r w:rsidRPr="00124CC8">
        <w:rPr>
          <w:rFonts w:ascii="Century Gothic" w:hAnsi="Century Gothic" w:cs="HelveticaNeue-Light"/>
        </w:rPr>
        <w:t xml:space="preserve">). Make your first 1/10 dilution by transferring 5 </w:t>
      </w:r>
      <w:r w:rsidRPr="00124CC8">
        <w:rPr>
          <w:rFonts w:ascii="Century Gothic" w:hAnsi="Century Gothic" w:cs="HelveticaNeue-Light"/>
        </w:rPr>
        <w:t>l of the DNA solution into tube 2. Mix by gentle pipetting.</w:t>
      </w:r>
    </w:p>
    <w:p w:rsidR="00124CC8" w:rsidRPr="00124CC8" w:rsidRDefault="00124CC8" w:rsidP="00124CC8">
      <w:pPr>
        <w:rPr>
          <w:rFonts w:ascii="Century Gothic" w:hAnsi="Century Gothic" w:cs="HelveticaNeue-Light"/>
        </w:rPr>
      </w:pPr>
      <w:r w:rsidRPr="00124CC8">
        <w:rPr>
          <w:rFonts w:ascii="Century Gothic" w:hAnsi="Century Gothic" w:cs="HelveticaNeue-Light"/>
        </w:rPr>
        <w:t>4.  Change tips and make the next dilution by transferring 5</w:t>
      </w:r>
      <w:r w:rsidRPr="00124CC8">
        <w:rPr>
          <w:rFonts w:ascii="Century Gothic" w:hAnsi="Century Gothic" w:cs="HelveticaNeue-Light"/>
        </w:rPr>
        <w:t></w:t>
      </w:r>
      <w:r w:rsidRPr="007757C7">
        <w:rPr>
          <w:rFonts w:ascii="Symbol" w:hAnsi="Symbol" w:cs="HelveticaNeue-Light"/>
        </w:rPr>
        <w:t></w:t>
      </w:r>
      <w:r w:rsidRPr="00124CC8">
        <w:rPr>
          <w:rFonts w:ascii="Century Gothic" w:hAnsi="Century Gothic" w:cs="HelveticaNeue-Light"/>
        </w:rPr>
        <w:t>l of the well-mixed DNA solution from tube 2 into tube 3.  Mix well by gentle pipetting.</w:t>
      </w:r>
    </w:p>
    <w:p w:rsidR="00124CC8" w:rsidRDefault="007757C7" w:rsidP="00124CC8">
      <w:pPr>
        <w:rPr>
          <w:rFonts w:ascii="Century Gothic" w:hAnsi="Century Gothic" w:cs="HelveticaNeue-Light"/>
        </w:rPr>
      </w:pPr>
      <w:r>
        <w:rPr>
          <w:rFonts w:ascii="Century Gothic" w:hAnsi="Century Gothic" w:cs="HelveticaNeue-Light"/>
        </w:rPr>
        <w:t>5.  Repeat to make 10-</w:t>
      </w:r>
      <w:r w:rsidR="00124CC8" w:rsidRPr="00124CC8">
        <w:rPr>
          <w:rFonts w:ascii="Century Gothic" w:hAnsi="Century Gothic" w:cs="HelveticaNeue-Light"/>
        </w:rPr>
        <w:t xml:space="preserve">fold </w:t>
      </w:r>
      <w:r>
        <w:rPr>
          <w:rFonts w:ascii="Century Gothic" w:hAnsi="Century Gothic" w:cs="HelveticaNeue-Light"/>
        </w:rPr>
        <w:t xml:space="preserve"> </w:t>
      </w:r>
      <w:r w:rsidRPr="007757C7">
        <w:rPr>
          <w:rFonts w:ascii="Century Gothic" w:hAnsi="Century Gothic" w:cs="HelveticaNeue-Light"/>
          <w:i/>
        </w:rPr>
        <w:t xml:space="preserve">serial </w:t>
      </w:r>
      <w:r w:rsidR="00124CC8" w:rsidRPr="00124CC8">
        <w:rPr>
          <w:rFonts w:ascii="Century Gothic" w:hAnsi="Century Gothic" w:cs="HelveticaNeue-Light"/>
        </w:rPr>
        <w:t>dilutions in tubes, 4, 5, and 6.</w:t>
      </w:r>
      <w:r>
        <w:rPr>
          <w:rFonts w:ascii="Century Gothic" w:hAnsi="Century Gothic" w:cs="HelveticaNeue-Light"/>
        </w:rPr>
        <w:t xml:space="preserve">  Add no DNA to tube 7.</w:t>
      </w:r>
    </w:p>
    <w:p w:rsidR="00124CC8" w:rsidRDefault="00124CC8" w:rsidP="00124CC8">
      <w:pPr>
        <w:rPr>
          <w:rFonts w:ascii="Century Gothic" w:hAnsi="Century Gothic" w:cs="HelveticaNeue-Light"/>
        </w:rPr>
      </w:pPr>
      <w:r>
        <w:rPr>
          <w:rFonts w:ascii="Century Gothic" w:hAnsi="Century Gothic" w:cs="HelveticaNeue-Light"/>
        </w:rPr>
        <w:t>6.  Place dilutions on ice.</w:t>
      </w:r>
    </w:p>
    <w:p w:rsidR="007757C7" w:rsidRPr="007757C7" w:rsidRDefault="007757C7" w:rsidP="00124CC8">
      <w:pPr>
        <w:rPr>
          <w:rFonts w:ascii="Century Gothic" w:hAnsi="Century Gothic" w:cs="HelveticaNeue-Light"/>
          <w:b/>
        </w:rPr>
      </w:pPr>
    </w:p>
    <w:p w:rsidR="00124CC8" w:rsidRPr="007757C7" w:rsidRDefault="00124CC8" w:rsidP="00124CC8">
      <w:pPr>
        <w:rPr>
          <w:rFonts w:ascii="Century Gothic" w:hAnsi="Century Gothic" w:cs="HelveticaNeue-Light"/>
          <w:b/>
        </w:rPr>
      </w:pPr>
      <w:r w:rsidRPr="007757C7">
        <w:rPr>
          <w:rFonts w:ascii="Century Gothic" w:hAnsi="Century Gothic" w:cs="HelveticaNeue-Light"/>
          <w:b/>
        </w:rPr>
        <w:t>Prepare</w:t>
      </w:r>
      <w:r w:rsidR="007757C7" w:rsidRPr="007757C7">
        <w:rPr>
          <w:rFonts w:ascii="Century Gothic" w:hAnsi="Century Gothic" w:cs="HelveticaNeue-Light"/>
          <w:b/>
        </w:rPr>
        <w:t xml:space="preserve"> Sybr Green master mix as follows.</w:t>
      </w:r>
    </w:p>
    <w:p w:rsidR="007757C7" w:rsidRDefault="007757C7" w:rsidP="007757C7">
      <w:pPr>
        <w:numPr>
          <w:ilvl w:val="0"/>
          <w:numId w:val="8"/>
        </w:numPr>
        <w:rPr>
          <w:rFonts w:ascii="Century Gothic" w:hAnsi="Century Gothic" w:cs="HelveticaNeue-Light"/>
        </w:rPr>
      </w:pPr>
      <w:r>
        <w:rPr>
          <w:rFonts w:ascii="Century Gothic" w:hAnsi="Century Gothic" w:cs="HelveticaNeue-Light"/>
        </w:rPr>
        <w:t xml:space="preserve">For </w:t>
      </w:r>
      <w:r w:rsidR="00814AD5">
        <w:rPr>
          <w:rFonts w:ascii="Century Gothic" w:hAnsi="Century Gothic" w:cs="HelveticaNeue-Light"/>
        </w:rPr>
        <w:t>each diluted</w:t>
      </w:r>
      <w:r>
        <w:rPr>
          <w:rFonts w:ascii="Century Gothic" w:hAnsi="Century Gothic" w:cs="HelveticaNeue-Light"/>
        </w:rPr>
        <w:t xml:space="preserve"> sample</w:t>
      </w:r>
      <w:r w:rsidR="00814AD5">
        <w:rPr>
          <w:rFonts w:ascii="Century Gothic" w:hAnsi="Century Gothic" w:cs="HelveticaNeue-Light"/>
        </w:rPr>
        <w:t xml:space="preserve"> (2-7)</w:t>
      </w:r>
      <w:r>
        <w:rPr>
          <w:rFonts w:ascii="Century Gothic" w:hAnsi="Century Gothic" w:cs="HelveticaNeue-Light"/>
        </w:rPr>
        <w:t xml:space="preserve"> make 80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of mastermix</w:t>
      </w:r>
      <w:r w:rsidR="00F8500F">
        <w:rPr>
          <w:rFonts w:ascii="Century Gothic" w:hAnsi="Century Gothic" w:cs="HelveticaNeue-Light"/>
        </w:rPr>
        <w:t xml:space="preserve"> in  a separate labeled tube</w:t>
      </w:r>
    </w:p>
    <w:p w:rsidR="007757C7" w:rsidRDefault="00814AD5" w:rsidP="007757C7">
      <w:pPr>
        <w:numPr>
          <w:ilvl w:val="1"/>
          <w:numId w:val="8"/>
        </w:numPr>
        <w:rPr>
          <w:rFonts w:ascii="Century Gothic" w:hAnsi="Century Gothic" w:cs="HelveticaNeue-Light"/>
        </w:rPr>
      </w:pPr>
      <w:r>
        <w:rPr>
          <w:rFonts w:ascii="Century Gothic" w:hAnsi="Century Gothic" w:cs="HelveticaNeue-Light"/>
        </w:rPr>
        <w:t>50</w:t>
      </w:r>
      <w:r w:rsidRPr="00124CC8">
        <w:rPr>
          <w:rFonts w:ascii="Century Gothic" w:hAnsi="Century Gothic" w:cs="HelveticaNeue-Light"/>
        </w:rPr>
        <w:t></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Sybr Green supermix</w:t>
      </w:r>
    </w:p>
    <w:p w:rsidR="00814AD5" w:rsidRDefault="00814AD5" w:rsidP="007757C7">
      <w:pPr>
        <w:numPr>
          <w:ilvl w:val="1"/>
          <w:numId w:val="8"/>
        </w:numPr>
        <w:rPr>
          <w:rFonts w:ascii="Century Gothic" w:hAnsi="Century Gothic" w:cs="HelveticaNeue-Light"/>
        </w:rPr>
      </w:pPr>
      <w:r>
        <w:rPr>
          <w:rFonts w:ascii="Century Gothic" w:hAnsi="Century Gothic" w:cs="HelveticaNeue-Light"/>
        </w:rPr>
        <w:t xml:space="preserve">2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forward primer</w:t>
      </w:r>
    </w:p>
    <w:p w:rsidR="00814AD5" w:rsidRDefault="00814AD5" w:rsidP="007757C7">
      <w:pPr>
        <w:numPr>
          <w:ilvl w:val="1"/>
          <w:numId w:val="8"/>
        </w:numPr>
        <w:rPr>
          <w:rFonts w:ascii="Century Gothic" w:hAnsi="Century Gothic" w:cs="HelveticaNeue-Light"/>
        </w:rPr>
      </w:pPr>
      <w:r>
        <w:rPr>
          <w:rFonts w:ascii="Century Gothic" w:hAnsi="Century Gothic" w:cs="HelveticaNeue-Light"/>
        </w:rPr>
        <w:t xml:space="preserve">2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reverse primer</w:t>
      </w:r>
    </w:p>
    <w:p w:rsidR="00814AD5" w:rsidRDefault="00814AD5" w:rsidP="007757C7">
      <w:pPr>
        <w:numPr>
          <w:ilvl w:val="1"/>
          <w:numId w:val="8"/>
        </w:numPr>
        <w:rPr>
          <w:rFonts w:ascii="Century Gothic" w:hAnsi="Century Gothic" w:cs="HelveticaNeue-Light"/>
        </w:rPr>
      </w:pPr>
      <w:r>
        <w:rPr>
          <w:rFonts w:ascii="Century Gothic" w:hAnsi="Century Gothic" w:cs="HelveticaNeue-Light"/>
        </w:rPr>
        <w:t xml:space="preserve">26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water</w:t>
      </w:r>
    </w:p>
    <w:p w:rsidR="00F8500F" w:rsidRDefault="00F8500F" w:rsidP="00F8500F">
      <w:pPr>
        <w:ind w:left="1800"/>
        <w:rPr>
          <w:rFonts w:ascii="Century Gothic" w:hAnsi="Century Gothic" w:cs="HelveticaNeue-Light"/>
        </w:rPr>
      </w:pPr>
    </w:p>
    <w:p w:rsidR="00F8500F" w:rsidRPr="00124CC8" w:rsidRDefault="00F8500F" w:rsidP="00F8500F">
      <w:pPr>
        <w:ind w:left="1800"/>
        <w:rPr>
          <w:rFonts w:ascii="Century Gothic" w:hAnsi="Century Gothic" w:cs="HelveticaNeue-Light"/>
        </w:rPr>
      </w:pPr>
    </w:p>
    <w:p w:rsidR="00124CC8" w:rsidRPr="00F8500F" w:rsidRDefault="00F8500F" w:rsidP="00124CC8">
      <w:pPr>
        <w:rPr>
          <w:rFonts w:ascii="Century Gothic" w:hAnsi="Century Gothic" w:cs="HelveticaNeue-Light"/>
          <w:b/>
        </w:rPr>
      </w:pPr>
      <w:r w:rsidRPr="00F8500F">
        <w:rPr>
          <w:rFonts w:ascii="Century Gothic" w:hAnsi="Century Gothic" w:cs="HelveticaNeue-Light"/>
          <w:b/>
        </w:rPr>
        <w:t>Combining template and mastermix</w:t>
      </w:r>
    </w:p>
    <w:p w:rsidR="00124CC8" w:rsidRDefault="00F8500F" w:rsidP="00F8500F">
      <w:pPr>
        <w:numPr>
          <w:ilvl w:val="0"/>
          <w:numId w:val="10"/>
        </w:numPr>
        <w:rPr>
          <w:rFonts w:ascii="Century Gothic" w:hAnsi="Century Gothic" w:cs="HelveticaNeue-Light"/>
        </w:rPr>
      </w:pPr>
      <w:r>
        <w:rPr>
          <w:rFonts w:ascii="Century Gothic" w:hAnsi="Century Gothic" w:cs="HelveticaNeue-Light"/>
        </w:rPr>
        <w:t xml:space="preserve"> Add 20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of each diluted pGLO sample to each tube of master mix.  Mix well. Spin down.</w:t>
      </w:r>
    </w:p>
    <w:p w:rsidR="00F8500F" w:rsidRDefault="00F8500F" w:rsidP="00F8500F">
      <w:pPr>
        <w:ind w:left="1080"/>
        <w:rPr>
          <w:rFonts w:ascii="Century Gothic" w:hAnsi="Century Gothic" w:cs="HelveticaNeue-Light"/>
        </w:rPr>
      </w:pPr>
    </w:p>
    <w:p w:rsidR="00F8500F" w:rsidRPr="00F8500F" w:rsidRDefault="00F8500F" w:rsidP="00F8500F">
      <w:pPr>
        <w:ind w:left="720"/>
        <w:rPr>
          <w:rFonts w:ascii="Century Gothic" w:hAnsi="Century Gothic" w:cs="HelveticaNeue-Light"/>
        </w:rPr>
      </w:pPr>
      <w:r>
        <w:rPr>
          <w:rFonts w:ascii="Century Gothic" w:hAnsi="Century Gothic" w:cs="HelveticaNeue-Light"/>
        </w:rPr>
        <w:t xml:space="preserve">2.  </w:t>
      </w:r>
      <w:r w:rsidRPr="00F8500F">
        <w:rPr>
          <w:rFonts w:ascii="Century Gothic" w:hAnsi="Century Gothic"/>
        </w:rPr>
        <w:t xml:space="preserve"> </w:t>
      </w:r>
      <w:r w:rsidRPr="00F8500F">
        <w:rPr>
          <w:rFonts w:ascii="Century Gothic" w:hAnsi="Century Gothic" w:cs="HelveticaNeue-Light"/>
        </w:rPr>
        <w:t xml:space="preserve">Aliquot 25 </w:t>
      </w:r>
      <w:r w:rsidRPr="007757C7">
        <w:rPr>
          <w:rFonts w:ascii="Symbol" w:hAnsi="Symbol" w:cs="HelveticaNeue-Light"/>
        </w:rPr>
        <w:t></w:t>
      </w:r>
      <w:r w:rsidRPr="00124CC8">
        <w:rPr>
          <w:rFonts w:ascii="Century Gothic" w:hAnsi="Century Gothic" w:cs="HelveticaNeue-Light"/>
        </w:rPr>
        <w:t>l</w:t>
      </w:r>
      <w:r>
        <w:rPr>
          <w:rFonts w:ascii="Century Gothic" w:hAnsi="Century Gothic" w:cs="HelveticaNeue-Light"/>
        </w:rPr>
        <w:t xml:space="preserve"> </w:t>
      </w:r>
      <w:r w:rsidRPr="00F8500F">
        <w:rPr>
          <w:rFonts w:ascii="Century Gothic" w:hAnsi="Century Gothic" w:cs="HelveticaNeue-Light"/>
        </w:rPr>
        <w:t xml:space="preserve">of the contents of each tube </w:t>
      </w:r>
      <w:r>
        <w:rPr>
          <w:rFonts w:ascii="Century Gothic" w:hAnsi="Century Gothic" w:cs="HelveticaNeue-Light"/>
        </w:rPr>
        <w:t xml:space="preserve"> </w:t>
      </w:r>
      <w:r w:rsidRPr="00F8500F">
        <w:rPr>
          <w:rFonts w:ascii="Century Gothic" w:hAnsi="Century Gothic" w:cs="HelveticaNeue-Light"/>
        </w:rPr>
        <w:t>into separate wells of your plate strip (these are triplicates so they go side by side in each row).</w:t>
      </w:r>
    </w:p>
    <w:p w:rsidR="00F8500F" w:rsidRPr="00124CC8" w:rsidRDefault="00F8500F" w:rsidP="00F8500F">
      <w:pPr>
        <w:rPr>
          <w:rFonts w:ascii="Century Gothic" w:hAnsi="Century Gothic" w:cs="HelveticaNeue-Light"/>
        </w:rPr>
      </w:pPr>
    </w:p>
    <w:p w:rsidR="00F8500F" w:rsidRPr="00124CC8" w:rsidRDefault="00F8500F" w:rsidP="00F8500F">
      <w:pPr>
        <w:rPr>
          <w:rFonts w:ascii="Century Gothic" w:hAnsi="Century Gothic"/>
        </w:rPr>
      </w:pPr>
      <w:r w:rsidRPr="00124CC8">
        <w:rPr>
          <w:rFonts w:ascii="Century Gothic" w:hAnsi="Century Gothic"/>
        </w:rPr>
        <w:t xml:space="preserve">Try NOT to introduce bubbles or air space when loading your triplicates. </w:t>
      </w:r>
      <w:r w:rsidRPr="00124CC8">
        <w:rPr>
          <w:rFonts w:ascii="Century Gothic" w:hAnsi="Century Gothic"/>
          <w:b/>
        </w:rPr>
        <w:t xml:space="preserve">    </w:t>
      </w:r>
      <w:r w:rsidRPr="00124CC8">
        <w:rPr>
          <w:rFonts w:ascii="Century Gothic" w:hAnsi="Century Gothic"/>
        </w:rPr>
        <w:t xml:space="preserve"> place on ice after finished.</w:t>
      </w:r>
    </w:p>
    <w:p w:rsidR="00124CC8" w:rsidRPr="00124CC8" w:rsidRDefault="00124CC8" w:rsidP="00124CC8">
      <w:pPr>
        <w:rPr>
          <w:rFonts w:ascii="Century Gothic" w:hAnsi="Century Gothic" w:cs="HelveticaNeue-Light"/>
        </w:rPr>
      </w:pPr>
    </w:p>
    <w:p w:rsidR="00124CC8" w:rsidRPr="00124CC8" w:rsidRDefault="00124CC8" w:rsidP="00124CC8">
      <w:pPr>
        <w:rPr>
          <w:rFonts w:ascii="Century Gothic" w:hAnsi="Century Gothic" w:cs="HelveticaNeue-Light"/>
        </w:rPr>
      </w:pPr>
      <w:bookmarkStart w:id="0" w:name="_GoBack"/>
      <w:bookmarkEnd w:id="0"/>
    </w:p>
    <w:p w:rsidR="00124CC8" w:rsidRPr="00124CC8" w:rsidRDefault="00124CC8" w:rsidP="00124CC8">
      <w:pPr>
        <w:rPr>
          <w:rFonts w:ascii="Century Gothic" w:hAnsi="Century Gothic" w:cs="HelveticaNeue-Light"/>
        </w:rPr>
      </w:pPr>
      <w:r w:rsidRPr="00124CC8">
        <w:rPr>
          <w:rFonts w:ascii="Century Gothic" w:hAnsi="Century Gothic" w:cs="HelveticaNeue-Light"/>
        </w:rPr>
        <w:t>10.  Run the qPCR experiment in Dr. Supers thermal cycler.  (see set up in 216)</w:t>
      </w:r>
    </w:p>
    <w:p w:rsidR="00124CC8" w:rsidRPr="00124CC8" w:rsidRDefault="00124CC8" w:rsidP="00124CC8">
      <w:pPr>
        <w:rPr>
          <w:rFonts w:ascii="Century Gothic" w:hAnsi="Century Gothic" w:cs="HelveticaNeue-Light"/>
        </w:rPr>
      </w:pPr>
    </w:p>
    <w:p w:rsidR="00124CC8" w:rsidRPr="00124CC8" w:rsidRDefault="00124CC8" w:rsidP="00124CC8">
      <w:pPr>
        <w:rPr>
          <w:rFonts w:ascii="Century Gothic" w:hAnsi="Century Gothic" w:cs="HelveticaNeue-Light"/>
        </w:rPr>
      </w:pPr>
      <w:r w:rsidRPr="00124CC8">
        <w:rPr>
          <w:rFonts w:ascii="Century Gothic" w:hAnsi="Century Gothic" w:cs="HelveticaNeue-Light"/>
        </w:rPr>
        <w:t>11.  Results will be discussed next week.</w:t>
      </w:r>
    </w:p>
    <w:p w:rsidR="00F8500F" w:rsidRDefault="00F8500F" w:rsidP="00A312D6">
      <w:pPr>
        <w:rPr>
          <w:rFonts w:ascii="Century Gothic" w:eastAsia="Calibri" w:hAnsi="Century Gothic" w:cs="Times New Roman"/>
        </w:rPr>
      </w:pPr>
    </w:p>
    <w:p w:rsidR="00F8500F" w:rsidRDefault="00F8500F" w:rsidP="00A312D6">
      <w:pPr>
        <w:rPr>
          <w:rFonts w:ascii="Century Gothic" w:eastAsia="Calibri" w:hAnsi="Century Gothic" w:cs="Times New Roman"/>
        </w:rPr>
      </w:pPr>
    </w:p>
    <w:p w:rsidR="00A312D6" w:rsidRPr="00124CC8" w:rsidRDefault="00A312D6" w:rsidP="00922CEE">
      <w:pPr>
        <w:rPr>
          <w:rFonts w:ascii="Century Gothic" w:hAnsi="Century Gothic" w:cs="HelveticaNeue-Light"/>
        </w:rPr>
      </w:pPr>
    </w:p>
    <w:p w:rsidR="00124CC8" w:rsidRDefault="00124CC8">
      <w:pPr>
        <w:rPr>
          <w:rFonts w:ascii="Times New Roman" w:hAnsi="Times New Roman" w:cs="Times New Roman"/>
          <w:sz w:val="20"/>
          <w:szCs w:val="20"/>
        </w:rPr>
      </w:pPr>
    </w:p>
    <w:sectPr w:rsidR="00124CC8" w:rsidSect="004C3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Neue-Heavy">
    <w:altName w:val="Cambria"/>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Neue-LightItalic">
    <w:altName w:val="Helvetica Neu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26D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641D1"/>
    <w:multiLevelType w:val="hybridMultilevel"/>
    <w:tmpl w:val="55FC1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927C9"/>
    <w:multiLevelType w:val="hybridMultilevel"/>
    <w:tmpl w:val="893A1F40"/>
    <w:lvl w:ilvl="0" w:tplc="614C06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0A4C02"/>
    <w:multiLevelType w:val="hybridMultilevel"/>
    <w:tmpl w:val="1B3E6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51CE2"/>
    <w:multiLevelType w:val="hybridMultilevel"/>
    <w:tmpl w:val="134ED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5D40"/>
    <w:multiLevelType w:val="hybridMultilevel"/>
    <w:tmpl w:val="F56CC1B0"/>
    <w:lvl w:ilvl="0" w:tplc="70DE51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A491C"/>
    <w:multiLevelType w:val="hybridMultilevel"/>
    <w:tmpl w:val="0666E064"/>
    <w:lvl w:ilvl="0" w:tplc="C0609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280F4C"/>
    <w:multiLevelType w:val="hybridMultilevel"/>
    <w:tmpl w:val="04CE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23D9A"/>
    <w:multiLevelType w:val="hybridMultilevel"/>
    <w:tmpl w:val="3BF8F81C"/>
    <w:lvl w:ilvl="0" w:tplc="319CA7A6">
      <w:start w:val="1"/>
      <w:numFmt w:val="upperLetter"/>
      <w:lvlText w:val="%1."/>
      <w:lvlJc w:val="left"/>
      <w:pPr>
        <w:ind w:left="720" w:hanging="360"/>
      </w:pPr>
      <w:rPr>
        <w:rFonts w:ascii="HelveticaNeue-Bold" w:hAnsi="HelveticaNeue-Bold" w:cs="HelveticaNeue-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94C84"/>
    <w:multiLevelType w:val="hybridMultilevel"/>
    <w:tmpl w:val="869224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77"/>
    <w:rsid w:val="00061743"/>
    <w:rsid w:val="001106AD"/>
    <w:rsid w:val="00124CC8"/>
    <w:rsid w:val="00285333"/>
    <w:rsid w:val="003B0A77"/>
    <w:rsid w:val="003C4DFF"/>
    <w:rsid w:val="003F00FA"/>
    <w:rsid w:val="00433932"/>
    <w:rsid w:val="00484178"/>
    <w:rsid w:val="004C3182"/>
    <w:rsid w:val="00556933"/>
    <w:rsid w:val="00564589"/>
    <w:rsid w:val="00761A51"/>
    <w:rsid w:val="007757C7"/>
    <w:rsid w:val="00814AD5"/>
    <w:rsid w:val="00874E94"/>
    <w:rsid w:val="0087799B"/>
    <w:rsid w:val="00922CEE"/>
    <w:rsid w:val="00977179"/>
    <w:rsid w:val="009A3420"/>
    <w:rsid w:val="00A164D9"/>
    <w:rsid w:val="00A312D6"/>
    <w:rsid w:val="00A8033F"/>
    <w:rsid w:val="00AD349E"/>
    <w:rsid w:val="00AF30F5"/>
    <w:rsid w:val="00AF3158"/>
    <w:rsid w:val="00B20C47"/>
    <w:rsid w:val="00B31EF7"/>
    <w:rsid w:val="00BA7A53"/>
    <w:rsid w:val="00CD22DD"/>
    <w:rsid w:val="00CF772F"/>
    <w:rsid w:val="00D46492"/>
    <w:rsid w:val="00D672DE"/>
    <w:rsid w:val="00D7737B"/>
    <w:rsid w:val="00D97D74"/>
    <w:rsid w:val="00F8500F"/>
    <w:rsid w:val="00FB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312D6"/>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312D6"/>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1782</Words>
  <Characters>10158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Molecular Biology</vt:lpstr>
    </vt:vector>
  </TitlesOfParts>
  <Company>MSU</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Biology</dc:title>
  <dc:subject/>
  <dc:creator>Heidi Super</dc:creator>
  <cp:keywords/>
  <cp:lastModifiedBy>Heidi Super</cp:lastModifiedBy>
  <cp:revision>2</cp:revision>
  <cp:lastPrinted>2012-11-19T16:19:00Z</cp:lastPrinted>
  <dcterms:created xsi:type="dcterms:W3CDTF">2012-11-19T18:28:00Z</dcterms:created>
  <dcterms:modified xsi:type="dcterms:W3CDTF">2012-11-19T18:28:00Z</dcterms:modified>
</cp:coreProperties>
</file>